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embeddings/Microsoft_Visio___1.vsdx" ContentType="application/vnd.ms-visio.drawing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楷体" w:hAnsi="楷体" w:eastAsia="楷体" w:cs="微软雅黑"/>
          <w:b/>
          <w:bCs/>
          <w:kern w:val="0"/>
          <w:sz w:val="72"/>
          <w:szCs w:val="48"/>
        </w:rPr>
      </w:pPr>
    </w:p>
    <w:p>
      <w:pPr>
        <w:jc w:val="center"/>
        <w:rPr>
          <w:rFonts w:ascii="楷体" w:hAnsi="楷体" w:eastAsia="楷体" w:cs="微软雅黑"/>
          <w:b/>
          <w:bCs/>
          <w:kern w:val="0"/>
          <w:sz w:val="72"/>
          <w:szCs w:val="48"/>
        </w:rPr>
      </w:pPr>
      <w:r>
        <w:rPr>
          <w:rFonts w:hint="eastAsia" w:ascii="楷体" w:hAnsi="楷体" w:eastAsia="楷体" w:cs="微软雅黑"/>
          <w:b/>
          <w:bCs/>
          <w:kern w:val="0"/>
          <w:sz w:val="72"/>
          <w:szCs w:val="48"/>
        </w:rPr>
        <w:t>GP2</w:t>
      </w:r>
      <w:r>
        <w:rPr>
          <w:rFonts w:ascii="楷体" w:hAnsi="楷体" w:eastAsia="楷体" w:cs="微软雅黑"/>
          <w:b/>
          <w:bCs/>
          <w:kern w:val="0"/>
          <w:sz w:val="72"/>
          <w:szCs w:val="48"/>
        </w:rPr>
        <w:t>1</w:t>
      </w:r>
      <w:r>
        <w:rPr>
          <w:rFonts w:hint="eastAsia" w:ascii="楷体" w:hAnsi="楷体" w:eastAsia="楷体" w:cs="微软雅黑"/>
          <w:b/>
          <w:bCs/>
          <w:kern w:val="0"/>
          <w:sz w:val="72"/>
          <w:szCs w:val="48"/>
        </w:rPr>
        <w:t>-</w:t>
      </w:r>
      <w:r>
        <w:rPr>
          <w:rFonts w:hint="eastAsia" w:ascii="楷体" w:hAnsi="楷体" w:eastAsia="楷体" w:cs="微软雅黑"/>
          <w:b/>
          <w:bCs/>
          <w:kern w:val="0"/>
          <w:sz w:val="72"/>
          <w:szCs w:val="48"/>
          <w:lang w:val="en-US" w:eastAsia="zh-CN"/>
        </w:rPr>
        <w:t>6</w:t>
      </w:r>
      <w:r>
        <w:rPr>
          <w:rFonts w:hint="eastAsia" w:ascii="楷体" w:hAnsi="楷体" w:eastAsia="楷体" w:cs="微软雅黑"/>
          <w:b/>
          <w:bCs/>
          <w:kern w:val="0"/>
          <w:sz w:val="72"/>
          <w:szCs w:val="48"/>
        </w:rPr>
        <w:t>0</w:t>
      </w:r>
    </w:p>
    <w:p>
      <w:pPr>
        <w:jc w:val="center"/>
        <w:rPr>
          <w:rFonts w:ascii="MS PGothic" w:hAnsi="MS PGothic" w:eastAsia="MS PGothic" w:cs="MS PGothic"/>
          <w:kern w:val="0"/>
          <w:sz w:val="24"/>
          <w:szCs w:val="28"/>
          <w:lang w:eastAsia="ja-JP"/>
        </w:rPr>
      </w:pPr>
      <w:r>
        <w:rPr>
          <w:rFonts w:hint="eastAsia" w:ascii="楷体" w:hAnsi="楷体" w:eastAsia="楷体" w:cs="微软雅黑"/>
          <w:b/>
          <w:bCs/>
          <w:kern w:val="0"/>
          <w:sz w:val="72"/>
          <w:szCs w:val="48"/>
        </w:rPr>
        <w:t>风力发电系统规格书</w:t>
      </w:r>
    </w:p>
    <w:p>
      <w:pPr>
        <w:ind w:firstLine="2720" w:firstLineChars="850"/>
        <w:rPr>
          <w:rFonts w:ascii="楷体" w:hAnsi="楷体" w:eastAsia="楷体" w:cs="MS PGothic"/>
          <w:kern w:val="0"/>
          <w:sz w:val="32"/>
          <w:szCs w:val="28"/>
        </w:rPr>
      </w:pPr>
    </w:p>
    <w:p>
      <w:pPr>
        <w:ind w:firstLine="2720" w:firstLineChars="850"/>
        <w:rPr>
          <w:rFonts w:ascii="楷体" w:hAnsi="楷体" w:eastAsia="楷体" w:cs="MS PGothic"/>
          <w:kern w:val="0"/>
          <w:sz w:val="32"/>
          <w:szCs w:val="28"/>
        </w:rPr>
      </w:pPr>
    </w:p>
    <w:p>
      <w:pPr>
        <w:jc w:val="right"/>
        <w:rPr>
          <w:rFonts w:ascii="楷体" w:hAnsi="楷体" w:eastAsia="楷体" w:cs="MS PGothic"/>
          <w:kern w:val="0"/>
          <w:sz w:val="28"/>
          <w:szCs w:val="28"/>
          <w:lang w:eastAsia="ja-JP"/>
        </w:rPr>
      </w:pPr>
      <w:r>
        <w:rPr>
          <w:rFonts w:hint="eastAsia" w:ascii="楷体" w:hAnsi="楷体" w:eastAsia="楷体" w:cs="MS PGothic"/>
          <w:kern w:val="0"/>
          <w:sz w:val="20"/>
          <w:szCs w:val="20"/>
        </w:rPr>
        <w:drawing>
          <wp:inline distT="0" distB="0" distL="0" distR="0">
            <wp:extent cx="5810250" cy="4225925"/>
            <wp:effectExtent l="0" t="0" r="0" b="317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0400" cy="42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36" w:lineRule="auto"/>
        <w:jc w:val="center"/>
        <w:rPr>
          <w:rFonts w:ascii="楷体" w:hAnsi="楷体" w:eastAsia="楷体" w:cs="华文楷体"/>
          <w:b/>
          <w:bCs/>
          <w:kern w:val="0"/>
          <w:sz w:val="36"/>
        </w:rPr>
      </w:pPr>
    </w:p>
    <w:p>
      <w:pPr>
        <w:spacing w:line="336" w:lineRule="auto"/>
        <w:jc w:val="center"/>
        <w:rPr>
          <w:rFonts w:ascii="楷体" w:hAnsi="楷体" w:eastAsia="楷体" w:cs="华文楷体"/>
          <w:b/>
          <w:bCs/>
          <w:kern w:val="0"/>
          <w:sz w:val="36"/>
        </w:rPr>
      </w:pPr>
    </w:p>
    <w:p>
      <w:pPr>
        <w:spacing w:line="336" w:lineRule="auto"/>
        <w:jc w:val="center"/>
        <w:rPr>
          <w:rFonts w:ascii="MS PGothic" w:hAnsi="MS PGothic" w:cs="华文楷体"/>
          <w:b/>
          <w:bCs/>
          <w:kern w:val="0"/>
          <w:sz w:val="36"/>
        </w:rPr>
      </w:pPr>
    </w:p>
    <w:p>
      <w:pPr>
        <w:spacing w:line="336" w:lineRule="auto"/>
        <w:jc w:val="center"/>
        <w:rPr>
          <w:rFonts w:ascii="黑体" w:hAnsi="黑体" w:eastAsia="黑体" w:cs="华文楷体"/>
          <w:bCs/>
          <w:kern w:val="0"/>
          <w:sz w:val="32"/>
        </w:rPr>
      </w:pPr>
      <w:r>
        <w:rPr>
          <w:rFonts w:hint="eastAsia" w:ascii="黑体" w:hAnsi="黑体" w:eastAsia="黑体" w:cs="华文楷体"/>
          <w:bCs/>
          <w:kern w:val="0"/>
          <w:sz w:val="32"/>
        </w:rPr>
        <w:t>上海致</w:t>
      </w:r>
      <w:r>
        <w:rPr>
          <w:rFonts w:hint="eastAsia" w:ascii="黑体" w:hAnsi="黑体" w:eastAsia="黑体" w:cs="微软雅黑"/>
          <w:bCs/>
          <w:kern w:val="0"/>
          <w:sz w:val="32"/>
        </w:rPr>
        <w:t>远绿</w:t>
      </w:r>
      <w:r>
        <w:rPr>
          <w:rFonts w:hint="eastAsia" w:ascii="黑体" w:hAnsi="黑体" w:eastAsia="黑体" w:cs="MS PGothic"/>
          <w:bCs/>
          <w:kern w:val="0"/>
          <w:sz w:val="32"/>
        </w:rPr>
        <w:t>色</w:t>
      </w:r>
      <w:r>
        <w:rPr>
          <w:rFonts w:ascii="黑体" w:hAnsi="黑体" w:eastAsia="黑体" w:cs="华文楷体"/>
          <w:bCs/>
          <w:kern w:val="0"/>
          <w:sz w:val="32"/>
        </w:rPr>
        <w:t>能源股份有限公司</w:t>
      </w:r>
    </w:p>
    <w:p>
      <w:pPr>
        <w:jc w:val="center"/>
        <w:rPr>
          <w:rFonts w:eastAsia="华文楷体" w:cs="华文楷体"/>
          <w:b/>
          <w:kern w:val="0"/>
          <w:sz w:val="24"/>
        </w:rPr>
      </w:pPr>
      <w:r>
        <w:rPr>
          <w:rFonts w:eastAsia="MS PGothic" w:cs="MS PGothic"/>
          <w:bCs/>
          <w:kern w:val="0"/>
          <w:sz w:val="32"/>
        </w:rPr>
        <w:t>Shanghai Ghrepower Green Energy Co., Ltd</w:t>
      </w:r>
      <w:r>
        <w:rPr>
          <w:rFonts w:eastAsia="MS PGothic" w:cs="MS PGothic"/>
          <w:b/>
          <w:bCs/>
          <w:kern w:val="0"/>
          <w:sz w:val="32"/>
        </w:rPr>
        <w:t>.</w:t>
      </w:r>
      <w:r>
        <w:rPr>
          <w:rFonts w:eastAsia="华文楷体" w:cs="华文楷体"/>
          <w:b/>
          <w:kern w:val="0"/>
          <w:sz w:val="24"/>
        </w:rPr>
        <w:br w:type="page"/>
      </w:r>
    </w:p>
    <w:p>
      <w:pPr>
        <w:rPr>
          <w:rFonts w:cs="MS PGothic"/>
          <w:kern w:val="0"/>
          <w:sz w:val="20"/>
          <w:szCs w:val="20"/>
        </w:rPr>
      </w:pPr>
    </w:p>
    <w:p>
      <w:pPr>
        <w:rPr>
          <w:rFonts w:ascii="华文楷体" w:hAnsi="华文楷体" w:eastAsia="华文楷体" w:cs="华文楷体"/>
          <w:b/>
          <w:sz w:val="28"/>
        </w:rPr>
      </w:pPr>
      <w:r>
        <w:rPr>
          <w:rFonts w:hint="eastAsia" w:ascii="华文楷体" w:hAnsi="华文楷体" w:eastAsia="华文楷体" w:cs="华文楷体"/>
          <w:b/>
          <w:sz w:val="28"/>
        </w:rPr>
        <w:t>文档修改记录</w:t>
      </w:r>
    </w:p>
    <w:tbl>
      <w:tblPr>
        <w:tblStyle w:val="20"/>
        <w:tblW w:w="935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42"/>
        <w:gridCol w:w="5467"/>
        <w:gridCol w:w="1131"/>
        <w:gridCol w:w="15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华文楷体" w:hAnsi="华文楷体" w:eastAsia="华文楷体" w:cs="华文楷体"/>
                <w:b/>
                <w:sz w:val="20"/>
              </w:rPr>
            </w:pPr>
            <w:r>
              <w:rPr>
                <w:rFonts w:hint="eastAsia" w:ascii="华文楷体" w:hAnsi="华文楷体" w:eastAsia="华文楷体" w:cs="华文楷体"/>
                <w:b/>
                <w:sz w:val="20"/>
              </w:rPr>
              <w:t>文档版本</w:t>
            </w: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华文楷体" w:hAnsi="华文楷体" w:eastAsia="华文楷体" w:cs="华文楷体"/>
                <w:b/>
                <w:sz w:val="20"/>
              </w:rPr>
            </w:pPr>
            <w:r>
              <w:rPr>
                <w:rFonts w:hint="eastAsia" w:ascii="华文楷体" w:hAnsi="华文楷体" w:eastAsia="华文楷体" w:cs="华文楷体"/>
                <w:b/>
                <w:sz w:val="20"/>
              </w:rPr>
              <w:t>编辑详情</w:t>
            </w: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华文楷体" w:hAnsi="华文楷体" w:eastAsia="华文楷体" w:cs="华文楷体"/>
                <w:b/>
                <w:sz w:val="20"/>
              </w:rPr>
            </w:pPr>
            <w:r>
              <w:rPr>
                <w:rFonts w:hint="eastAsia" w:ascii="华文楷体" w:hAnsi="华文楷体" w:eastAsia="华文楷体" w:cs="华文楷体"/>
                <w:b/>
                <w:sz w:val="20"/>
              </w:rPr>
              <w:t>作者</w:t>
            </w: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华文楷体" w:hAnsi="华文楷体" w:eastAsia="华文楷体" w:cs="华文楷体"/>
                <w:b/>
                <w:sz w:val="20"/>
              </w:rPr>
            </w:pPr>
            <w:r>
              <w:rPr>
                <w:rFonts w:hint="eastAsia" w:ascii="华文楷体" w:hAnsi="华文楷体" w:eastAsia="华文楷体" w:cs="华文楷体"/>
                <w:b/>
                <w:sz w:val="20"/>
              </w:rPr>
              <w:t>编辑日期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  <w:r>
              <w:rPr>
                <w:rFonts w:hint="eastAsia" w:ascii="Calibri" w:hAnsi="Calibri" w:eastAsia="仿宋_GB2312" w:cs="Arial"/>
                <w:sz w:val="20"/>
              </w:rPr>
              <w:t>V</w:t>
            </w:r>
            <w:r>
              <w:rPr>
                <w:rFonts w:ascii="Calibri" w:hAnsi="Calibri" w:eastAsia="仿宋_GB2312" w:cs="Arial"/>
                <w:sz w:val="20"/>
              </w:rPr>
              <w:t>1.00</w:t>
            </w: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left"/>
              <w:rPr>
                <w:rFonts w:ascii="Calibri" w:hAnsi="Calibri" w:eastAsia="仿宋_GB2312" w:cs="Arial"/>
                <w:sz w:val="20"/>
              </w:rPr>
            </w:pPr>
            <w:r>
              <w:rPr>
                <w:rFonts w:hint="eastAsia" w:ascii="Calibri" w:hAnsi="Calibri" w:eastAsia="仿宋_GB2312" w:cs="Arial"/>
                <w:sz w:val="20"/>
              </w:rPr>
              <w:t>文档部分</w:t>
            </w:r>
            <w:r>
              <w:rPr>
                <w:rFonts w:ascii="Calibri" w:hAnsi="Calibri" w:eastAsia="仿宋_GB2312" w:cs="Arial"/>
                <w:sz w:val="20"/>
              </w:rPr>
              <w:t>内容修订</w:t>
            </w:r>
            <w:r>
              <w:rPr>
                <w:rFonts w:hint="eastAsia" w:ascii="Calibri" w:hAnsi="Calibri" w:eastAsia="仿宋_GB2312" w:cs="Arial"/>
                <w:sz w:val="20"/>
              </w:rPr>
              <w:t>；</w:t>
            </w: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  <w:r>
              <w:rPr>
                <w:rFonts w:hint="eastAsia" w:ascii="Calibri" w:hAnsi="Calibri" w:eastAsia="仿宋_GB2312" w:cs="Arial"/>
                <w:sz w:val="20"/>
              </w:rPr>
              <w:t>周绍君</w:t>
            </w: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  <w:r>
              <w:rPr>
                <w:rFonts w:hint="eastAsia" w:ascii="Calibri" w:hAnsi="Calibri" w:eastAsia="仿宋_GB2312" w:cs="Arial"/>
                <w:sz w:val="20"/>
              </w:rPr>
              <w:t>20</w:t>
            </w:r>
            <w:r>
              <w:rPr>
                <w:rFonts w:ascii="Calibri" w:hAnsi="Calibri" w:eastAsia="仿宋_GB2312" w:cs="Arial"/>
                <w:sz w:val="20"/>
              </w:rPr>
              <w:t>22</w:t>
            </w:r>
            <w:r>
              <w:rPr>
                <w:rFonts w:hint="eastAsia" w:ascii="Calibri" w:hAnsi="Calibri" w:eastAsia="仿宋_GB2312" w:cs="Arial"/>
                <w:sz w:val="20"/>
              </w:rPr>
              <w:t>/0</w:t>
            </w:r>
            <w:r>
              <w:rPr>
                <w:rFonts w:ascii="Calibri" w:hAnsi="Calibri" w:eastAsia="仿宋_GB2312" w:cs="Arial"/>
                <w:sz w:val="20"/>
              </w:rPr>
              <w:t>1</w:t>
            </w:r>
            <w:r>
              <w:rPr>
                <w:rFonts w:hint="eastAsia" w:ascii="Calibri" w:hAnsi="Calibri" w:eastAsia="仿宋_GB2312" w:cs="Arial"/>
                <w:sz w:val="20"/>
              </w:rPr>
              <w:t>/</w:t>
            </w:r>
            <w:r>
              <w:rPr>
                <w:rFonts w:ascii="Calibri" w:hAnsi="Calibri" w:eastAsia="仿宋_GB2312" w:cs="Arial"/>
                <w:sz w:val="20"/>
              </w:rPr>
              <w:t>14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8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left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left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left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left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242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5467" w:type="dxa"/>
            <w:vAlign w:val="center"/>
          </w:tcPr>
          <w:p>
            <w:pPr>
              <w:pStyle w:val="44"/>
              <w:spacing w:line="360" w:lineRule="auto"/>
              <w:ind w:firstLine="0"/>
              <w:jc w:val="left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13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  <w:tc>
          <w:tcPr>
            <w:tcW w:w="1511" w:type="dxa"/>
            <w:vAlign w:val="center"/>
          </w:tcPr>
          <w:p>
            <w:pPr>
              <w:pStyle w:val="44"/>
              <w:spacing w:line="360" w:lineRule="auto"/>
              <w:ind w:firstLine="0"/>
              <w:jc w:val="center"/>
              <w:rPr>
                <w:rFonts w:ascii="Calibri" w:hAnsi="Calibri" w:eastAsia="仿宋_GB2312" w:cs="Arial"/>
                <w:sz w:val="20"/>
              </w:rPr>
            </w:pPr>
          </w:p>
        </w:tc>
      </w:tr>
    </w:tbl>
    <w:p>
      <w:pPr>
        <w:widowControl/>
        <w:spacing w:before="156" w:beforeLines="50"/>
        <w:rPr>
          <w:b/>
          <w:kern w:val="0"/>
          <w:sz w:val="24"/>
        </w:rPr>
      </w:pPr>
    </w:p>
    <w:p>
      <w:pPr>
        <w:widowControl/>
        <w:spacing w:before="156" w:beforeLines="50"/>
        <w:rPr>
          <w:b/>
          <w:kern w:val="0"/>
          <w:sz w:val="24"/>
        </w:rPr>
      </w:pPr>
    </w:p>
    <w:p>
      <w:pPr>
        <w:widowControl/>
        <w:spacing w:before="156" w:beforeLines="50"/>
        <w:rPr>
          <w:b/>
          <w:kern w:val="0"/>
          <w:sz w:val="24"/>
        </w:rPr>
      </w:pPr>
    </w:p>
    <w:p>
      <w:pPr>
        <w:widowControl/>
        <w:spacing w:before="156" w:beforeLines="50"/>
        <w:jc w:val="center"/>
        <w:rPr>
          <w:b/>
          <w:sz w:val="24"/>
        </w:rPr>
      </w:pPr>
      <w:r>
        <w:rPr>
          <w:rStyle w:val="46"/>
          <w:rFonts w:hint="eastAsia"/>
          <w:b/>
          <w:kern w:val="0"/>
        </w:rPr>
        <w:t>目  录</w:t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rPr>
          <w:rFonts w:eastAsiaTheme="minorEastAsia"/>
          <w:bCs w:val="0"/>
          <w:caps w:val="0"/>
          <w:szCs w:val="24"/>
        </w:rPr>
        <w:fldChar w:fldCharType="begin"/>
      </w:r>
      <w:r>
        <w:rPr>
          <w:rFonts w:eastAsiaTheme="minorEastAsia"/>
          <w:bCs w:val="0"/>
          <w:caps w:val="0"/>
          <w:szCs w:val="24"/>
        </w:rPr>
        <w:instrText xml:space="preserve"> TOC \o "1-3" \h \z \u </w:instrText>
      </w:r>
      <w:r>
        <w:rPr>
          <w:rFonts w:eastAsiaTheme="minorEastAsia"/>
          <w:bCs w:val="0"/>
          <w:caps w:val="0"/>
          <w:szCs w:val="24"/>
        </w:rPr>
        <w:fldChar w:fldCharType="separate"/>
      </w:r>
      <w:r>
        <w:fldChar w:fldCharType="begin"/>
      </w:r>
      <w:r>
        <w:instrText xml:space="preserve"> HYPERLINK \l "_Toc35514317" </w:instrText>
      </w:r>
      <w:r>
        <w:fldChar w:fldCharType="separate"/>
      </w:r>
      <w:r>
        <w:rPr>
          <w:rStyle w:val="23"/>
        </w:rPr>
        <w:t>1.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</w:rPr>
        <w:t>系统特点</w:t>
      </w:r>
      <w:r>
        <w:tab/>
      </w:r>
      <w:r>
        <w:fldChar w:fldCharType="begin"/>
      </w:r>
      <w:r>
        <w:instrText xml:space="preserve"> PAGEREF _Toc35514317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"_Toc35514318" </w:instrText>
      </w:r>
      <w:r>
        <w:fldChar w:fldCharType="separate"/>
      </w:r>
      <w:r>
        <w:rPr>
          <w:rStyle w:val="23"/>
        </w:rPr>
        <w:t>2.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</w:rPr>
        <w:t>技术参数</w:t>
      </w:r>
      <w:r>
        <w:tab/>
      </w:r>
      <w:r>
        <w:fldChar w:fldCharType="begin"/>
      </w:r>
      <w:r>
        <w:instrText xml:space="preserve"> PAGEREF _Toc35514318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"_Toc35514319" </w:instrText>
      </w:r>
      <w:r>
        <w:fldChar w:fldCharType="separate"/>
      </w:r>
      <w:r>
        <w:rPr>
          <w:rStyle w:val="23"/>
          <w:rFonts w:eastAsia="MS Mincho"/>
          <w:lang w:eastAsia="ja-JP"/>
        </w:rPr>
        <w:t>3.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  <w:lang w:eastAsia="ja-JP"/>
        </w:rPr>
        <w:t>系统</w:t>
      </w:r>
      <w:r>
        <w:rPr>
          <w:rStyle w:val="23"/>
          <w:rFonts w:hint="eastAsia"/>
        </w:rPr>
        <w:t>组成</w:t>
      </w:r>
      <w:r>
        <w:tab/>
      </w:r>
      <w:r>
        <w:fldChar w:fldCharType="begin"/>
      </w:r>
      <w:r>
        <w:instrText xml:space="preserve"> PAGEREF _Toc35514319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"_Toc35514320" </w:instrText>
      </w:r>
      <w:r>
        <w:fldChar w:fldCharType="separate"/>
      </w:r>
      <w:r>
        <w:rPr>
          <w:rStyle w:val="23"/>
          <w:lang w:eastAsia="ja-JP"/>
        </w:rPr>
        <w:t>4.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</w:rPr>
        <w:t>机组</w:t>
      </w:r>
      <w:r>
        <w:rPr>
          <w:rStyle w:val="23"/>
          <w:rFonts w:hint="eastAsia"/>
          <w:lang w:eastAsia="ja-JP"/>
        </w:rPr>
        <w:t>性能</w:t>
      </w:r>
      <w:r>
        <w:tab/>
      </w:r>
      <w:r>
        <w:fldChar w:fldCharType="begin"/>
      </w:r>
      <w:r>
        <w:instrText xml:space="preserve"> PAGEREF _Toc35514320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"_Toc35514321" </w:instrText>
      </w:r>
      <w:r>
        <w:fldChar w:fldCharType="separate"/>
      </w:r>
      <w:r>
        <w:rPr>
          <w:rStyle w:val="23"/>
        </w:rPr>
        <w:t>5.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</w:rPr>
        <w:t>并网控制器</w:t>
      </w:r>
      <w:r>
        <w:tab/>
      </w:r>
      <w:r>
        <w:fldChar w:fldCharType="begin"/>
      </w:r>
      <w:r>
        <w:instrText xml:space="preserve"> PAGEREF _Toc35514321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"_Toc35514322" </w:instrText>
      </w:r>
      <w:r>
        <w:fldChar w:fldCharType="separate"/>
      </w:r>
      <w:r>
        <w:rPr>
          <w:rStyle w:val="23"/>
          <w:lang w:eastAsia="ja-JP"/>
        </w:rPr>
        <w:t>6.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</w:rPr>
        <w:t>并网逆变器</w:t>
      </w:r>
      <w:r>
        <w:tab/>
      </w:r>
      <w:r>
        <w:fldChar w:fldCharType="begin"/>
      </w:r>
      <w:r>
        <w:instrText xml:space="preserve"> PAGEREF _Toc35514322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"_Toc35514323" </w:instrText>
      </w:r>
      <w:r>
        <w:fldChar w:fldCharType="separate"/>
      </w:r>
      <w:r>
        <w:rPr>
          <w:rStyle w:val="23"/>
          <w:lang w:eastAsia="ja-JP"/>
        </w:rPr>
        <w:t>7.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  <w:rFonts w:hint="eastAsia"/>
        </w:rPr>
        <w:t>塔架和地基</w:t>
      </w:r>
      <w:r>
        <w:tab/>
      </w:r>
      <w:r>
        <w:fldChar w:fldCharType="begin"/>
      </w:r>
      <w:r>
        <w:instrText xml:space="preserve"> PAGEREF _Toc35514323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7"/>
        <w:rPr>
          <w:rFonts w:eastAsiaTheme="minorEastAsia"/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HYPERLINK \l "_Toc35514324" </w:instrText>
      </w:r>
      <w:r>
        <w:fldChar w:fldCharType="separate"/>
      </w:r>
      <w:r>
        <w:rPr>
          <w:rStyle w:val="23"/>
        </w:rPr>
        <w:t>8.</w:t>
      </w:r>
      <w:r>
        <w:rPr>
          <w:rFonts w:eastAsiaTheme="minorEastAsia"/>
          <w:b w:val="0"/>
          <w:bCs w:val="0"/>
          <w:caps w:val="0"/>
          <w:sz w:val="21"/>
          <w:szCs w:val="22"/>
        </w:rPr>
        <w:tab/>
      </w:r>
      <w:r>
        <w:rPr>
          <w:rStyle w:val="23"/>
        </w:rPr>
        <w:t>SCADA</w:t>
      </w:r>
      <w:r>
        <w:rPr>
          <w:rStyle w:val="23"/>
          <w:rFonts w:hint="eastAsia"/>
        </w:rPr>
        <w:t>远程监控</w:t>
      </w:r>
      <w:r>
        <w:tab/>
      </w:r>
      <w:r>
        <w:fldChar w:fldCharType="begin"/>
      </w:r>
      <w:r>
        <w:instrText xml:space="preserve"> PAGEREF _Toc35514324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widowControl/>
        <w:spacing w:line="300" w:lineRule="auto"/>
        <w:jc w:val="left"/>
        <w:rPr>
          <w:rFonts w:ascii="MS PGothic" w:hAnsi="MS PGothic" w:eastAsia="MS PGothic"/>
          <w:bCs/>
          <w:caps/>
          <w:szCs w:val="20"/>
        </w:rPr>
      </w:pPr>
      <w:r>
        <w:rPr>
          <w:bCs/>
          <w:caps/>
        </w:rPr>
        <w:fldChar w:fldCharType="end"/>
      </w:r>
    </w:p>
    <w:p>
      <w:pPr>
        <w:widowControl/>
        <w:spacing w:line="300" w:lineRule="auto"/>
        <w:jc w:val="left"/>
        <w:rPr>
          <w:rFonts w:ascii="MS PGothic" w:hAnsi="MS PGothic" w:eastAsia="MS PGothic"/>
          <w:bCs/>
          <w:caps/>
          <w:szCs w:val="20"/>
        </w:rPr>
      </w:pPr>
      <w:r>
        <w:rPr>
          <w:rFonts w:ascii="MS PGothic" w:hAnsi="MS PGothic" w:eastAsia="MS PGothic"/>
          <w:bCs/>
          <w:caps/>
          <w:szCs w:val="20"/>
        </w:rPr>
        <w:br w:type="page"/>
      </w:r>
    </w:p>
    <w:p>
      <w:pPr>
        <w:pStyle w:val="2"/>
        <w:spacing w:before="62" w:beforeLines="0" w:after="31" w:afterLines="0" w:line="276" w:lineRule="auto"/>
        <w:ind w:firstLine="124" w:firstLineChars="44"/>
        <w:rPr>
          <w:bCs/>
        </w:rPr>
      </w:pPr>
      <w:bookmarkStart w:id="0" w:name="_Toc35514317"/>
      <w:r>
        <w:rPr>
          <w:rFonts w:hint="eastAsia"/>
        </w:rPr>
        <w:t>系统特点</w:t>
      </w:r>
      <w:bookmarkEnd w:id="0"/>
    </w:p>
    <w:p>
      <w:pPr>
        <w:pStyle w:val="7"/>
        <w:numPr>
          <w:ilvl w:val="1"/>
          <w:numId w:val="3"/>
        </w:numPr>
        <w:ind w:right="142"/>
        <w:rPr>
          <w:rFonts w:cs="MS PGothic"/>
          <w:bCs w:val="0"/>
          <w:szCs w:val="28"/>
        </w:rPr>
      </w:pPr>
      <w:r>
        <w:rPr>
          <w:rFonts w:cs="MS PGothic"/>
          <w:bCs w:val="0"/>
          <w:szCs w:val="28"/>
        </w:rPr>
        <w:t>具有SWCC、IEC61400、CE等多项认证</w:t>
      </w:r>
    </w:p>
    <w:p>
      <w:pPr>
        <w:pStyle w:val="7"/>
        <w:numPr>
          <w:ilvl w:val="1"/>
          <w:numId w:val="3"/>
        </w:numPr>
        <w:ind w:right="142"/>
        <w:rPr>
          <w:rFonts w:cs="MS PGothic"/>
          <w:bCs w:val="0"/>
          <w:szCs w:val="28"/>
        </w:rPr>
      </w:pPr>
      <w:r>
        <w:rPr>
          <w:rFonts w:cs="MS PGothic"/>
          <w:szCs w:val="28"/>
        </w:rPr>
        <w:t>采用低速永磁发电机，直驱无齿轮箱传动设计</w:t>
      </w:r>
    </w:p>
    <w:p>
      <w:pPr>
        <w:pStyle w:val="3"/>
        <w:numPr>
          <w:ilvl w:val="1"/>
          <w:numId w:val="3"/>
        </w:numPr>
        <w:spacing w:line="300" w:lineRule="auto"/>
        <w:ind w:right="142" w:firstLineChars="0"/>
        <w:rPr>
          <w:rFonts w:cs="MS PGothic"/>
          <w:bCs/>
          <w:szCs w:val="28"/>
          <w:lang w:eastAsia="ja-JP"/>
        </w:rPr>
      </w:pPr>
      <w:r>
        <w:rPr>
          <w:rFonts w:cs="MS PGothic"/>
          <w:bCs/>
          <w:szCs w:val="28"/>
        </w:rPr>
        <w:t>主动变桨控制技术，大风时确保输出功率稳定性</w:t>
      </w:r>
    </w:p>
    <w:p>
      <w:pPr>
        <w:pStyle w:val="3"/>
        <w:numPr>
          <w:ilvl w:val="1"/>
          <w:numId w:val="3"/>
        </w:numPr>
        <w:spacing w:line="300" w:lineRule="auto"/>
        <w:ind w:right="142" w:firstLineChars="0"/>
        <w:rPr>
          <w:rFonts w:cs="MS PGothic"/>
          <w:bCs/>
          <w:szCs w:val="28"/>
          <w:lang w:eastAsia="ja-JP"/>
        </w:rPr>
      </w:pPr>
      <w:r>
        <w:rPr>
          <w:rFonts w:cs="MS PGothic"/>
          <w:bCs/>
          <w:szCs w:val="28"/>
        </w:rPr>
        <w:t>机械刹车、电磁刹车和主动偏航等多级安全保护</w:t>
      </w:r>
    </w:p>
    <w:p>
      <w:pPr>
        <w:pStyle w:val="3"/>
        <w:numPr>
          <w:ilvl w:val="1"/>
          <w:numId w:val="3"/>
        </w:numPr>
        <w:spacing w:line="300" w:lineRule="auto"/>
        <w:ind w:right="142" w:firstLineChars="0"/>
        <w:rPr>
          <w:rFonts w:cs="MS PGothic"/>
          <w:szCs w:val="28"/>
          <w:lang w:eastAsia="ja-JP"/>
        </w:rPr>
      </w:pPr>
      <w:r>
        <w:rPr>
          <w:rFonts w:cs="MS PGothic"/>
          <w:bCs/>
          <w:szCs w:val="28"/>
        </w:rPr>
        <w:t>全功率逆变器使用工频隔离技术，具有多国并网认证</w:t>
      </w:r>
    </w:p>
    <w:p>
      <w:pPr>
        <w:pStyle w:val="3"/>
        <w:numPr>
          <w:ilvl w:val="1"/>
          <w:numId w:val="3"/>
        </w:numPr>
        <w:spacing w:line="300" w:lineRule="auto"/>
        <w:ind w:right="142" w:firstLineChars="0"/>
        <w:rPr>
          <w:rFonts w:cs="Times New Roman"/>
          <w:szCs w:val="28"/>
        </w:rPr>
      </w:pPr>
      <w:r>
        <w:rPr>
          <w:rFonts w:cs="MS PGothic"/>
          <w:bCs/>
          <w:szCs w:val="28"/>
        </w:rPr>
        <w:t>具有完善功能的SCADA远程实时监控</w:t>
      </w:r>
      <w:r>
        <w:rPr>
          <w:rFonts w:cs="MS PGothic"/>
          <w:bCs/>
          <w:szCs w:val="28"/>
          <w:lang w:eastAsia="ja-JP"/>
        </w:rPr>
        <w:t>系统</w:t>
      </w:r>
    </w:p>
    <w:p>
      <w:pPr>
        <w:pStyle w:val="3"/>
        <w:numPr>
          <w:ilvl w:val="1"/>
          <w:numId w:val="3"/>
        </w:numPr>
        <w:spacing w:line="300" w:lineRule="auto"/>
        <w:ind w:right="142" w:firstLineChars="0"/>
        <w:rPr>
          <w:rFonts w:cs="Times New Roman"/>
          <w:szCs w:val="28"/>
        </w:rPr>
      </w:pPr>
      <w:r>
        <w:rPr>
          <w:rFonts w:cs="MS PGothic"/>
          <w:bCs/>
          <w:szCs w:val="28"/>
        </w:rPr>
        <w:t>适合小型风电场、智能电网、微电网系统</w:t>
      </w:r>
      <w:r>
        <w:rPr>
          <w:rFonts w:hint="eastAsia" w:cs="MS PGothic"/>
          <w:bCs/>
          <w:szCs w:val="28"/>
        </w:rPr>
        <w:t>等应用</w:t>
      </w:r>
    </w:p>
    <w:p>
      <w:pPr>
        <w:pStyle w:val="3"/>
        <w:spacing w:line="300" w:lineRule="auto"/>
        <w:ind w:right="629" w:firstLine="0" w:firstLineChars="0"/>
        <w:jc w:val="left"/>
        <w:rPr>
          <w:rFonts w:ascii="MS PGothic" w:hAnsi="MS PGothic" w:cs="Times New Roman"/>
          <w:b/>
          <w:sz w:val="24"/>
          <w:szCs w:val="28"/>
        </w:rPr>
      </w:pPr>
    </w:p>
    <w:p>
      <w:pPr>
        <w:pStyle w:val="2"/>
        <w:spacing w:before="62" w:beforeLines="0" w:after="31" w:afterLines="0" w:line="276" w:lineRule="auto"/>
        <w:ind w:firstLine="124" w:firstLineChars="44"/>
      </w:pPr>
      <w:bookmarkStart w:id="1" w:name="_Toc35514318"/>
      <w:r>
        <w:rPr>
          <w:rFonts w:hint="eastAsia"/>
        </w:rPr>
        <w:t>技术</w:t>
      </w:r>
      <w:r>
        <w:t>参数</w:t>
      </w:r>
      <w:bookmarkEnd w:id="1"/>
    </w:p>
    <w:p/>
    <w:tbl>
      <w:tblPr>
        <w:tblStyle w:val="20"/>
        <w:tblW w:w="8789" w:type="dxa"/>
        <w:tblInd w:w="562" w:type="dxa"/>
        <w:tblLayout w:type="fixed"/>
        <w:tblCellMar>
          <w:top w:w="0" w:type="dxa"/>
          <w:left w:w="227" w:type="dxa"/>
          <w:bottom w:w="0" w:type="dxa"/>
          <w:right w:w="99" w:type="dxa"/>
        </w:tblCellMar>
      </w:tblPr>
      <w:tblGrid>
        <w:gridCol w:w="2820"/>
        <w:gridCol w:w="5969"/>
      </w:tblGrid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eastAsia="MS PGothic" w:cs="MS PGothic"/>
                <w:b/>
                <w:bCs/>
              </w:rPr>
            </w:pPr>
            <w:r>
              <w:rPr>
                <w:rFonts w:eastAsia="MS PGothic" w:cs="MS PGothic"/>
                <w:b/>
                <w:bCs/>
              </w:rPr>
              <w:t>制造商</w:t>
            </w:r>
          </w:p>
        </w:tc>
        <w:tc>
          <w:tcPr>
            <w:tcW w:w="5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上海致远绿色能源股份有限公司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原产国</w:t>
            </w:r>
          </w:p>
        </w:tc>
        <w:tc>
          <w:tcPr>
            <w:tcW w:w="5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中国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eastAsia="MS PGothic"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参数</w:t>
            </w:r>
          </w:p>
        </w:tc>
        <w:tc>
          <w:tcPr>
            <w:tcW w:w="59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规格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eastAsia="MS PGothic" w:cs="MS PGothic"/>
              </w:rPr>
            </w:pPr>
            <w:r>
              <w:rPr>
                <w:rFonts w:hint="eastAsia" w:cs="MS PGothic"/>
              </w:rPr>
              <w:t>机组</w:t>
            </w:r>
            <w:r>
              <w:rPr>
                <w:rFonts w:cs="MS PGothic"/>
              </w:rPr>
              <w:t>型号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FD21-</w:t>
            </w:r>
            <w:r>
              <w:rPr>
                <w:rFonts w:hint="eastAsia" w:cs="MS PGothic"/>
                <w:lang w:val="en-US" w:eastAsia="zh-CN"/>
              </w:rPr>
              <w:t>6</w:t>
            </w:r>
            <w:r>
              <w:rPr>
                <w:rFonts w:cs="MS PGothic"/>
              </w:rPr>
              <w:t>0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设计等级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 xml:space="preserve">IEC </w:t>
            </w:r>
            <w:r>
              <w:rPr>
                <w:rFonts w:hint="eastAsia" w:cs="MS PGothic"/>
                <w:lang w:eastAsia="ja-JP"/>
              </w:rPr>
              <w:t xml:space="preserve">Class </w:t>
            </w:r>
            <w:r>
              <w:rPr>
                <w:rFonts w:hint="eastAsia" w:cs="MS PGothic"/>
              </w:rPr>
              <w:t>Ⅱ</w:t>
            </w:r>
            <w:r>
              <w:rPr>
                <w:rFonts w:hint="eastAsia" w:cs="MS PGothic"/>
                <w:lang w:eastAsia="ja-JP"/>
              </w:rPr>
              <w:t>A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风机类型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永磁直驱型、三叶片、水平轴、上风向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设计</w:t>
            </w:r>
            <w:r>
              <w:rPr>
                <w:rFonts w:cs="MS PGothic"/>
                <w:lang w:eastAsia="ja-JP"/>
              </w:rPr>
              <w:t>寿命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20 年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风轮直径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21.6</w:t>
            </w:r>
            <w:r>
              <w:rPr>
                <w:rFonts w:cs="MS PGothic"/>
                <w:lang w:eastAsia="ja-JP"/>
              </w:rPr>
              <w:t>m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塔架</w:t>
            </w:r>
            <w:r>
              <w:rPr>
                <w:rFonts w:cs="MS PGothic"/>
                <w:lang w:eastAsia="ja-JP"/>
              </w:rPr>
              <w:t>高度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lang w:eastAsia="ja-JP"/>
              </w:rPr>
            </w:pPr>
            <w:r>
              <w:rPr>
                <w:rFonts w:cs="宋体"/>
                <w:kern w:val="0"/>
                <w:szCs w:val="20"/>
              </w:rPr>
              <w:t>30m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塔架形式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圆筒钢管塔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  <w:lang w:eastAsia="ja-JP"/>
              </w:rPr>
            </w:pPr>
            <w:r>
              <w:rPr>
                <w:rFonts w:cs="MS PGothic"/>
                <w:b/>
                <w:bCs/>
                <w:lang w:eastAsia="ja-JP"/>
              </w:rPr>
              <w:t>性能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额定功率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49</w:t>
            </w:r>
            <w:r>
              <w:rPr>
                <w:rFonts w:cs="MS PGothic"/>
                <w:lang w:eastAsia="ja-JP"/>
              </w:rPr>
              <w:t>kW,</w:t>
            </w:r>
            <w:r>
              <w:rPr>
                <w:rFonts w:cs="MS PGothic"/>
              </w:rPr>
              <w:t xml:space="preserve"> 400</w:t>
            </w:r>
            <w:r>
              <w:rPr>
                <w:rFonts w:cs="MS PGothic"/>
                <w:lang w:eastAsia="ja-JP"/>
              </w:rPr>
              <w:t xml:space="preserve"> VAC, 50Hz/60Hz ,3相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功率调节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变桨控制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额定转速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52</w:t>
            </w:r>
            <w:r>
              <w:rPr>
                <w:rFonts w:cs="MS PGothic"/>
                <w:lang w:eastAsia="ja-JP"/>
              </w:rPr>
              <w:t>rpm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最大转速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62</w:t>
            </w:r>
            <w:r>
              <w:rPr>
                <w:rFonts w:cs="MS PGothic"/>
                <w:lang w:eastAsia="ja-JP"/>
              </w:rPr>
              <w:t>rpm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切入风速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3m/s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额定风速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9</w:t>
            </w:r>
            <w:r>
              <w:rPr>
                <w:rFonts w:cs="MS PGothic"/>
                <w:lang w:eastAsia="ja-JP"/>
              </w:rPr>
              <w:t>m/s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切</w:t>
            </w:r>
            <w:r>
              <w:rPr>
                <w:rFonts w:cs="MS PGothic"/>
              </w:rPr>
              <w:t>出</w:t>
            </w:r>
            <w:r>
              <w:rPr>
                <w:rFonts w:cs="MS PGothic"/>
                <w:lang w:eastAsia="ja-JP"/>
              </w:rPr>
              <w:t>风速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color w:val="000000" w:themeColor="text1"/>
                <w:lang w:eastAsia="ja-JP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MS PGothic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25</w:t>
            </w:r>
            <w:r>
              <w:rPr>
                <w:rFonts w:cs="MS PGothic"/>
                <w:color w:val="000000" w:themeColor="text1"/>
                <w:lang w:eastAsia="ja-JP"/>
                <w14:textFill>
                  <w14:solidFill>
                    <w14:schemeClr w14:val="tx1"/>
                  </w14:solidFill>
                </w14:textFill>
              </w:rPr>
              <w:t>m/s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极限风速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5</w:t>
            </w:r>
            <w:r>
              <w:rPr>
                <w:rFonts w:cs="MS PGothic"/>
              </w:rPr>
              <w:t>2</w:t>
            </w:r>
            <w:r>
              <w:rPr>
                <w:rFonts w:cs="MS PGothic"/>
                <w:lang w:eastAsia="ja-JP"/>
              </w:rPr>
              <w:t>.5m/s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  <w:lang w:eastAsia="ja-JP"/>
              </w:rPr>
            </w:pPr>
            <w:r>
              <w:rPr>
                <w:rFonts w:cs="MS PGothic"/>
                <w:b/>
                <w:bCs/>
                <w:lang w:eastAsia="ja-JP"/>
              </w:rPr>
              <w:t>重量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叶片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3*350 kg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机体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97</w:t>
            </w:r>
            <w:r>
              <w:rPr>
                <w:rFonts w:cs="MS PGothic"/>
                <w:lang w:eastAsia="ja-JP"/>
              </w:rPr>
              <w:t>00 kg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塔筒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1</w:t>
            </w:r>
            <w:r>
              <w:rPr>
                <w:rFonts w:hint="eastAsia" w:cs="MS PGothic"/>
                <w:lang w:val="en-US" w:eastAsia="zh-CN"/>
              </w:rPr>
              <w:t>39</w:t>
            </w:r>
            <w:r>
              <w:rPr>
                <w:rFonts w:cs="MS PGothic"/>
              </w:rPr>
              <w:t>00 kg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  <w:lang w:eastAsia="ja-JP"/>
              </w:rPr>
            </w:pPr>
            <w:r>
              <w:rPr>
                <w:rFonts w:cs="MS PGothic"/>
                <w:b/>
                <w:bCs/>
                <w:lang w:eastAsia="ja-JP"/>
              </w:rPr>
              <w:t>制动系统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空气动力学制动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主动变桨距控制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机械制动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机械主轴刹车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eastAsia="MS PGothic" w:cs="MS PGothic"/>
              </w:rPr>
            </w:pPr>
            <w:r>
              <w:rPr>
                <w:rFonts w:cs="MS PGothic"/>
              </w:rPr>
              <w:t>电磁制动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电子泄荷控制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  <w:lang w:eastAsia="ja-JP"/>
              </w:rPr>
            </w:pPr>
            <w:r>
              <w:rPr>
                <w:rFonts w:cs="MS PGothic"/>
                <w:b/>
                <w:bCs/>
                <w:lang w:eastAsia="ja-JP"/>
              </w:rPr>
              <w:t>偏航</w:t>
            </w:r>
            <w:r>
              <w:rPr>
                <w:rFonts w:cs="MS PGothic"/>
                <w:b/>
                <w:bCs/>
              </w:rPr>
              <w:t>解缆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偏航方式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电动偏航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解缆方式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自动解缆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控制系统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控制系统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工业PLC控制器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逆变器类型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全功率逆变器、工频</w:t>
            </w:r>
            <w:r>
              <w:rPr>
                <w:rFonts w:cs="MS PGothic"/>
                <w:lang w:eastAsia="ja-JP"/>
              </w:rPr>
              <w:t>变压器</w:t>
            </w:r>
            <w:r>
              <w:rPr>
                <w:rFonts w:cs="MS PGothic"/>
              </w:rPr>
              <w:t>隔离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监控系统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Cube</w:t>
            </w:r>
            <w:r>
              <w:rPr>
                <w:rFonts w:hint="eastAsia" w:cs="MS PGothic"/>
              </w:rPr>
              <w:t>监控系统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发电机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发电机类型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永磁发电机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驱动类型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直接驱动（无齿轮箱）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额定电压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400VAC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绝缘等级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  <w:lang w:eastAsia="ja-JP"/>
              </w:rPr>
              <w:t>F</w:t>
            </w:r>
            <w:r>
              <w:rPr>
                <w:rFonts w:hint="eastAsia" w:cs="MS PGothic"/>
              </w:rPr>
              <w:t>级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叶片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叶片材料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玻璃钢（FRP）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叶片长度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11.8</w:t>
            </w:r>
            <w:r>
              <w:rPr>
                <w:rFonts w:cs="MS PGothic"/>
                <w:lang w:eastAsia="ja-JP"/>
              </w:rPr>
              <w:t>m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叶片数量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3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塔架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表面处理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油漆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高度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宋体"/>
                <w:kern w:val="0"/>
                <w:szCs w:val="20"/>
              </w:rPr>
              <w:t>30m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噪音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噪音水平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&lt;58dBA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辅助供电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正常工作时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≤</w:t>
            </w:r>
            <w:r>
              <w:rPr>
                <w:rFonts w:cs="MS PGothic"/>
                <w:lang w:eastAsia="ja-JP"/>
              </w:rPr>
              <w:t>2kW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待机电力需求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≤</w:t>
            </w:r>
            <w:r>
              <w:rPr>
                <w:rFonts w:cs="MS PGothic"/>
                <w:lang w:eastAsia="ja-JP"/>
              </w:rPr>
              <w:t>0.6kW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PCS待机功耗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≤0.2k</w:t>
            </w:r>
            <w:r>
              <w:rPr>
                <w:rFonts w:cs="MS PGothic"/>
                <w:lang w:eastAsia="ja-JP"/>
              </w:rPr>
              <w:t>W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878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vAlign w:val="center"/>
          </w:tcPr>
          <w:p>
            <w:pPr>
              <w:widowControl/>
              <w:rPr>
                <w:rFonts w:cs="MS PGothic"/>
                <w:b/>
                <w:bCs/>
              </w:rPr>
            </w:pPr>
            <w:r>
              <w:rPr>
                <w:rFonts w:cs="MS PGothic"/>
                <w:b/>
                <w:bCs/>
              </w:rPr>
              <w:t>环境温度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</w:rPr>
              <w:t>运行</w:t>
            </w:r>
            <w:r>
              <w:rPr>
                <w:rFonts w:cs="MS PGothic"/>
                <w:lang w:eastAsia="ja-JP"/>
              </w:rPr>
              <w:t>温度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-20</w:t>
            </w:r>
            <w:r>
              <w:rPr>
                <w:rFonts w:hint="eastAsia" w:ascii="宋体" w:hAnsi="宋体" w:eastAsia="宋体" w:cs="宋体"/>
                <w:lang w:eastAsia="ja-JP"/>
              </w:rPr>
              <w:t>℃</w:t>
            </w:r>
            <w:r>
              <w:rPr>
                <w:rFonts w:cs="MS PGothic"/>
                <w:lang w:eastAsia="ja-JP"/>
              </w:rPr>
              <w:t xml:space="preserve"> to 50</w:t>
            </w:r>
            <w:r>
              <w:rPr>
                <w:rFonts w:hint="eastAsia" w:ascii="宋体" w:hAnsi="宋体" w:eastAsia="宋体" w:cs="宋体"/>
                <w:lang w:eastAsia="ja-JP"/>
              </w:rPr>
              <w:t>℃</w:t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cs="MS PGothic"/>
                <w:lang w:eastAsia="ja-JP"/>
              </w:rPr>
              <w:t>机组防护等级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  <w:lang w:eastAsia="ja-JP"/>
              </w:rPr>
            </w:pPr>
            <w:r>
              <w:rPr>
                <w:rFonts w:hint="eastAsia" w:cs="MS PGothic"/>
                <w:lang w:eastAsia="ja-JP"/>
              </w:rPr>
              <w:t>IP54、 ISO 12944-2 C5</w:t>
            </w:r>
            <w:r>
              <w:rPr>
                <w:rFonts w:hint="eastAsia" w:cs="MS PGothic"/>
                <w:lang w:eastAsia="ja-JP"/>
              </w:rPr>
              <w:tab/>
            </w:r>
          </w:p>
        </w:tc>
      </w:tr>
      <w:tr>
        <w:tblPrEx>
          <w:tblCellMar>
            <w:top w:w="0" w:type="dxa"/>
            <w:left w:w="227" w:type="dxa"/>
            <w:bottom w:w="0" w:type="dxa"/>
            <w:right w:w="99" w:type="dxa"/>
          </w:tblCellMar>
        </w:tblPrEx>
        <w:trPr>
          <w:trHeight w:val="454" w:hRule="atLeast"/>
        </w:trPr>
        <w:tc>
          <w:tcPr>
            <w:tcW w:w="28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防雷保护</w:t>
            </w:r>
          </w:p>
        </w:tc>
        <w:tc>
          <w:tcPr>
            <w:tcW w:w="59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叶尖接闪器、通过接地回路导入大地</w:t>
            </w:r>
          </w:p>
          <w:p>
            <w:pPr>
              <w:widowControl/>
              <w:rPr>
                <w:rFonts w:cs="MS PGothic"/>
              </w:rPr>
            </w:pPr>
            <w:r>
              <w:rPr>
                <w:rFonts w:cs="MS PGothic"/>
              </w:rPr>
              <w:t>风速计和风向标有单独接闪器</w:t>
            </w:r>
          </w:p>
        </w:tc>
      </w:tr>
    </w:tbl>
    <w:p>
      <w:pPr>
        <w:widowControl/>
        <w:jc w:val="left"/>
        <w:rPr>
          <w:rFonts w:eastAsia="MS Mincho" w:asciiTheme="majorHAnsi" w:hAnsiTheme="majorHAnsi"/>
          <w:b/>
          <w:sz w:val="28"/>
          <w:szCs w:val="22"/>
          <w:lang w:eastAsia="ja-JP"/>
        </w:rPr>
      </w:pPr>
    </w:p>
    <w:p>
      <w:pPr>
        <w:pStyle w:val="2"/>
        <w:spacing w:before="62" w:beforeLines="0" w:after="31" w:afterLines="0" w:line="276" w:lineRule="auto"/>
        <w:ind w:firstLine="124" w:firstLineChars="44"/>
        <w:rPr>
          <w:rFonts w:eastAsia="MS Mincho"/>
          <w:lang w:eastAsia="ja-JP"/>
        </w:rPr>
      </w:pPr>
      <w:bookmarkStart w:id="2" w:name="_Toc35514319"/>
      <w:r>
        <w:rPr>
          <w:rFonts w:hint="eastAsia"/>
          <w:lang w:eastAsia="ja-JP"/>
        </w:rPr>
        <w:t>系统</w:t>
      </w:r>
      <w:r>
        <w:rPr>
          <w:rFonts w:hint="eastAsia"/>
        </w:rPr>
        <w:t>组成</w:t>
      </w:r>
      <w:bookmarkEnd w:id="2"/>
    </w:p>
    <w:p>
      <w:pPr>
        <w:widowControl/>
        <w:ind w:firstLine="420"/>
        <w:jc w:val="left"/>
      </w:pP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风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力</w:t>
      </w: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发电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系</w:t>
      </w: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统</w:t>
      </w:r>
      <w:r>
        <w:rPr>
          <w:rFonts w:hint="eastAsia" w:cs="微软雅黑" w:asciiTheme="minorEastAsia" w:hAnsiTheme="minorEastAsia"/>
          <w:spacing w:val="-1"/>
          <w:sz w:val="24"/>
        </w:rPr>
        <w:t>主要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由</w:t>
      </w: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风</w:t>
      </w:r>
      <w:r>
        <w:rPr>
          <w:rFonts w:hint="eastAsia" w:cs="微软雅黑" w:asciiTheme="minorEastAsia" w:hAnsiTheme="minorEastAsia"/>
          <w:spacing w:val="-1"/>
          <w:sz w:val="24"/>
        </w:rPr>
        <w:t>力</w:t>
      </w:r>
      <w:r>
        <w:rPr>
          <w:rFonts w:cs="微软雅黑" w:asciiTheme="minorEastAsia" w:hAnsiTheme="minorEastAsia"/>
          <w:spacing w:val="-1"/>
          <w:sz w:val="24"/>
        </w:rPr>
        <w:t>发电机组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，并网控制器，</w:t>
      </w:r>
      <w:r>
        <w:rPr>
          <w:rFonts w:hint="eastAsia" w:cs="MS PGothic" w:asciiTheme="minorEastAsia" w:hAnsiTheme="minorEastAsia"/>
          <w:spacing w:val="-1"/>
          <w:sz w:val="24"/>
        </w:rPr>
        <w:t>并网</w:t>
      </w:r>
      <w:r>
        <w:rPr>
          <w:rFonts w:cs="MS PGothic" w:asciiTheme="minorEastAsia" w:hAnsiTheme="minorEastAsia"/>
          <w:spacing w:val="-1"/>
          <w:sz w:val="24"/>
        </w:rPr>
        <w:t>逆变器</w:t>
      </w:r>
      <w:r>
        <w:rPr>
          <w:rFonts w:hint="eastAsia" w:cs="MS PGothic" w:asciiTheme="minorEastAsia" w:hAnsiTheme="minorEastAsia"/>
          <w:spacing w:val="-1"/>
          <w:sz w:val="24"/>
        </w:rPr>
        <w:t>等</w:t>
      </w: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组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成。 （</w:t>
      </w: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见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下</w:t>
      </w:r>
      <w:r>
        <w:rPr>
          <w:rFonts w:hint="eastAsia" w:cs="微软雅黑" w:asciiTheme="minorEastAsia" w:hAnsiTheme="minorEastAsia"/>
          <w:spacing w:val="-1"/>
          <w:sz w:val="24"/>
          <w:lang w:eastAsia="ja-JP"/>
        </w:rPr>
        <w:t>图</w:t>
      </w:r>
      <w:r>
        <w:rPr>
          <w:rFonts w:hint="eastAsia" w:cs="MS PGothic" w:asciiTheme="minorEastAsia" w:hAnsiTheme="minorEastAsia"/>
          <w:spacing w:val="-1"/>
          <w:sz w:val="24"/>
          <w:lang w:eastAsia="ja-JP"/>
        </w:rPr>
        <w:t>）</w:t>
      </w:r>
      <w:r>
        <w:t xml:space="preserve"> </w:t>
      </w:r>
    </w:p>
    <w:p>
      <w:pPr>
        <w:widowControl/>
        <w:ind w:firstLine="420"/>
        <w:jc w:val="left"/>
      </w:pPr>
    </w:p>
    <w:p>
      <w:pPr>
        <w:widowControl/>
        <w:jc w:val="center"/>
      </w:pPr>
    </w:p>
    <w:p>
      <w:pPr>
        <w:widowControl/>
        <w:jc w:val="center"/>
      </w:pPr>
      <w:r>
        <w:drawing>
          <wp:inline distT="0" distB="0" distL="0" distR="0">
            <wp:extent cx="5500370" cy="1324610"/>
            <wp:effectExtent l="19050" t="19050" r="24130" b="279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00800" cy="1324800"/>
                    </a:xfrm>
                    <a:prstGeom prst="rect">
                      <a:avLst/>
                    </a:prstGeom>
                    <a:ln w="15875">
                      <a:solidFill>
                        <a:schemeClr val="accent1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</w:pPr>
    </w:p>
    <w:p>
      <w:pPr>
        <w:widowControl/>
        <w:jc w:val="center"/>
      </w:pPr>
    </w:p>
    <w:p>
      <w:pPr>
        <w:widowControl/>
        <w:jc w:val="center"/>
        <w:rPr>
          <w:lang w:eastAsia="ja-JP"/>
        </w:rPr>
      </w:pPr>
      <w:r>
        <w:rPr>
          <w:lang w:eastAsia="ja-JP"/>
        </w:rPr>
        <w:object>
          <v:shape id="_x0000_i1025" o:spt="75" type="#_x0000_t75" style="height:82.2pt;width:427.1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f"/>
            <w10:wrap type="none"/>
            <w10:anchorlock/>
          </v:shape>
          <o:OLEObject Type="Embed" ProgID="Visio.Drawing.15" ShapeID="_x0000_i1025" DrawAspect="Content" ObjectID="_1468075725" r:id="rId8">
            <o:LockedField>false</o:LockedField>
          </o:OLEObject>
        </w:object>
      </w:r>
    </w:p>
    <w:p>
      <w:pPr>
        <w:widowControl/>
        <w:jc w:val="center"/>
        <w:rPr>
          <w:rFonts w:eastAsia="MS PGothic" w:cs="MS PGothic" w:asciiTheme="minorEastAsia" w:hAnsiTheme="minorEastAsia"/>
          <w:spacing w:val="-1"/>
          <w:sz w:val="24"/>
          <w:lang w:eastAsia="ja-JP"/>
        </w:rPr>
      </w:pPr>
    </w:p>
    <w:p>
      <w:pPr>
        <w:widowControl/>
        <w:jc w:val="center"/>
        <w:rPr>
          <w:rFonts w:eastAsia="MS PGothic" w:cs="MS PGothic" w:asciiTheme="minorEastAsia" w:hAnsiTheme="minorEastAsia"/>
          <w:spacing w:val="-1"/>
          <w:sz w:val="24"/>
          <w:lang w:eastAsia="ja-JP"/>
        </w:rPr>
      </w:pPr>
    </w:p>
    <w:p>
      <w:pPr>
        <w:widowControl/>
        <w:jc w:val="left"/>
      </w:pPr>
      <w:r>
        <w:br w:type="page"/>
      </w:r>
    </w:p>
    <w:p>
      <w:pPr>
        <w:pStyle w:val="2"/>
        <w:spacing w:before="62" w:beforeLines="0" w:after="31" w:afterLines="0" w:line="276" w:lineRule="auto"/>
        <w:ind w:firstLine="124" w:firstLineChars="44"/>
        <w:rPr>
          <w:rFonts w:ascii="MS PGothic" w:hAnsi="MS PGothic"/>
          <w:szCs w:val="28"/>
        </w:rPr>
      </w:pPr>
      <w:bookmarkStart w:id="3" w:name="_Toc35514320"/>
      <w:r>
        <w:rPr>
          <w:rFonts w:hint="eastAsia"/>
        </w:rPr>
        <w:t>机组</w:t>
      </w:r>
      <w:r>
        <w:rPr>
          <w:rFonts w:hint="eastAsia"/>
          <w:lang w:eastAsia="ja-JP"/>
        </w:rPr>
        <w:t>性能</w:t>
      </w:r>
      <w:bookmarkEnd w:id="3"/>
      <w:bookmarkStart w:id="4" w:name="_Toc35514321"/>
    </w:p>
    <w:p>
      <w:pPr>
        <w:tabs>
          <w:tab w:val="left" w:pos="1091"/>
        </w:tabs>
        <w:ind w:right="140"/>
        <w:jc w:val="center"/>
      </w:pPr>
      <w:r>
        <w:drawing>
          <wp:inline distT="0" distB="0" distL="114300" distR="114300">
            <wp:extent cx="5939790" cy="3320415"/>
            <wp:effectExtent l="5080" t="4445" r="13970" b="12700"/>
            <wp:docPr id="5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>
      <w:pPr>
        <w:tabs>
          <w:tab w:val="left" w:pos="1091"/>
        </w:tabs>
        <w:ind w:right="140"/>
        <w:jc w:val="center"/>
      </w:pPr>
      <w:bookmarkStart w:id="8" w:name="_GoBack"/>
      <w:bookmarkEnd w:id="8"/>
    </w:p>
    <w:tbl>
      <w:tblPr>
        <w:tblStyle w:val="20"/>
        <w:tblW w:w="8804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27"/>
        <w:gridCol w:w="741"/>
        <w:gridCol w:w="742"/>
        <w:gridCol w:w="742"/>
        <w:gridCol w:w="742"/>
        <w:gridCol w:w="742"/>
        <w:gridCol w:w="742"/>
        <w:gridCol w:w="742"/>
        <w:gridCol w:w="742"/>
        <w:gridCol w:w="74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pStyle w:val="45"/>
              <w:ind w:right="389"/>
              <w:jc w:val="center"/>
              <w:rPr>
                <w:rFonts w:ascii="MS PGothic" w:hAnsi="MS PGothic" w:eastAsia="MS PGothic" w:cs="MS PGothic"/>
                <w:bCs/>
                <w:sz w:val="21"/>
                <w:szCs w:val="18"/>
              </w:rPr>
            </w:pPr>
            <w:r>
              <w:rPr>
                <w:rFonts w:hint="eastAsia" w:ascii="MS PGothic" w:hAnsi="MS PGothic" w:eastAsia="MS PGothic" w:cs="MS PGothic"/>
                <w:bCs/>
                <w:sz w:val="21"/>
                <w:szCs w:val="18"/>
                <w:lang w:eastAsia="ja-JP"/>
              </w:rPr>
              <w:t>年平均</w:t>
            </w:r>
            <w:r>
              <w:rPr>
                <w:rFonts w:hint="eastAsia" w:ascii="MS PGothic" w:hAnsi="MS PGothic" w:eastAsia="MS PGothic" w:cs="MS PGothic"/>
                <w:bCs/>
                <w:sz w:val="21"/>
                <w:szCs w:val="18"/>
              </w:rPr>
              <w:t>風速（m/s)</w:t>
            </w:r>
          </w:p>
        </w:tc>
        <w:tc>
          <w:tcPr>
            <w:tcW w:w="741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</w:rPr>
              <w:t>4.0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  <w:lang w:eastAsia="ja-JP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  <w:lang w:eastAsia="ja-JP"/>
              </w:rPr>
              <w:t>4.5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</w:rPr>
              <w:t>5.0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  <w:lang w:eastAsia="zh-CN"/>
              </w:rPr>
              <w:t xml:space="preserve">5.5 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</w:rPr>
              <w:t>6.0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  <w:lang w:eastAsia="zh-CN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  <w:lang w:eastAsia="zh-CN"/>
              </w:rPr>
              <w:t>6.5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</w:rPr>
            </w:pP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</w:rPr>
              <w:t>7.0</w:t>
            </w:r>
          </w:p>
        </w:tc>
        <w:tc>
          <w:tcPr>
            <w:tcW w:w="742" w:type="dxa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  <w:lang w:eastAsia="zh-CN"/>
              </w:rPr>
            </w:pPr>
            <w:r>
              <w:rPr>
                <w:rFonts w:ascii="MS PGothic" w:hAnsi="MS PGothic" w:eastAsia="MS PGothic" w:cs="MS PGothic"/>
                <w:bCs/>
                <w:sz w:val="18"/>
                <w:szCs w:val="18"/>
                <w:lang w:eastAsia="zh-CN"/>
              </w:rPr>
              <w:t>7</w:t>
            </w: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  <w:lang w:eastAsia="zh-CN"/>
              </w:rPr>
              <w:t>.5</w:t>
            </w:r>
          </w:p>
        </w:tc>
        <w:tc>
          <w:tcPr>
            <w:tcW w:w="742" w:type="dxa"/>
            <w:vAlign w:val="center"/>
          </w:tcPr>
          <w:p>
            <w:pPr>
              <w:pStyle w:val="45"/>
              <w:jc w:val="center"/>
              <w:rPr>
                <w:rFonts w:ascii="MS PGothic" w:hAnsi="MS PGothic" w:eastAsia="MS PGothic" w:cs="MS PGothic"/>
                <w:bCs/>
                <w:sz w:val="18"/>
                <w:szCs w:val="18"/>
              </w:rPr>
            </w:pPr>
            <w:r>
              <w:rPr>
                <w:rFonts w:ascii="MS PGothic" w:hAnsi="MS PGothic" w:eastAsia="MS PGothic" w:cs="MS PGothic"/>
                <w:bCs/>
                <w:sz w:val="18"/>
                <w:szCs w:val="18"/>
              </w:rPr>
              <w:t>8</w:t>
            </w:r>
            <w:r>
              <w:rPr>
                <w:rFonts w:hint="eastAsia" w:ascii="MS PGothic" w:hAnsi="MS PGothic" w:eastAsia="MS PGothic" w:cs="MS PGothic"/>
                <w:bCs/>
                <w:sz w:val="18"/>
                <w:szCs w:val="18"/>
              </w:rPr>
              <w:t>.0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exact"/>
          <w:jc w:val="center"/>
        </w:trPr>
        <w:tc>
          <w:tcPr>
            <w:tcW w:w="2127" w:type="dxa"/>
            <w:shd w:val="clear" w:color="auto" w:fill="auto"/>
            <w:vAlign w:val="center"/>
          </w:tcPr>
          <w:p>
            <w:pPr>
              <w:pStyle w:val="45"/>
              <w:ind w:right="348"/>
              <w:jc w:val="center"/>
              <w:rPr>
                <w:rFonts w:ascii="MS PGothic" w:hAnsi="MS PGothic" w:eastAsia="MS PGothic" w:cs="MS PGothic"/>
                <w:bCs/>
                <w:sz w:val="21"/>
                <w:szCs w:val="18"/>
              </w:rPr>
            </w:pPr>
            <w:r>
              <w:rPr>
                <w:rFonts w:hint="eastAsia" w:ascii="MS PGothic" w:hAnsi="MS PGothic" w:eastAsia="MS PGothic" w:cs="MS PGothic"/>
                <w:bCs/>
                <w:sz w:val="21"/>
                <w:szCs w:val="18"/>
              </w:rPr>
              <w:t>年間発電量（MWh)</w:t>
            </w:r>
          </w:p>
        </w:tc>
        <w:tc>
          <w:tcPr>
            <w:tcW w:w="741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MS PGothic" w:hAnsi="MS PGothic" w:eastAsia="宋体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 w:cs="宋体"/>
                <w:kern w:val="0"/>
                <w:sz w:val="18"/>
                <w:szCs w:val="18"/>
                <w:lang w:val="en-US" w:eastAsia="zh-CN"/>
              </w:rPr>
              <w:t>69.1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96.1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124.5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152.6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178.8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202</w:t>
            </w:r>
          </w:p>
        </w:tc>
        <w:tc>
          <w:tcPr>
            <w:tcW w:w="742" w:type="dxa"/>
            <w:shd w:val="clear" w:color="auto" w:fill="auto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221.5</w:t>
            </w:r>
          </w:p>
        </w:tc>
        <w:tc>
          <w:tcPr>
            <w:tcW w:w="742" w:type="dxa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236..0</w:t>
            </w:r>
          </w:p>
        </w:tc>
        <w:tc>
          <w:tcPr>
            <w:tcW w:w="742" w:type="dxa"/>
            <w:vAlign w:val="center"/>
          </w:tcPr>
          <w:p>
            <w:pPr>
              <w:jc w:val="center"/>
              <w:rPr>
                <w:rFonts w:hint="default" w:ascii="MS PGothic" w:hAnsi="MS PGothic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MS PGothic" w:hAnsi="MS PGothic" w:eastAsia="宋体"/>
                <w:sz w:val="18"/>
                <w:szCs w:val="18"/>
                <w:lang w:val="en-US" w:eastAsia="zh-CN"/>
              </w:rPr>
              <w:t>248.4</w:t>
            </w:r>
          </w:p>
        </w:tc>
      </w:tr>
    </w:tbl>
    <w:p>
      <w:pPr>
        <w:pStyle w:val="2"/>
        <w:spacing w:before="62" w:beforeLines="0" w:after="31" w:afterLines="0" w:line="276" w:lineRule="auto"/>
        <w:ind w:firstLine="124" w:firstLineChars="44"/>
        <w:rPr>
          <w:bCs/>
        </w:rPr>
      </w:pPr>
      <w:r>
        <w:rPr>
          <w:rFonts w:hint="eastAsia"/>
        </w:rPr>
        <w:t>并网控制器</w:t>
      </w:r>
      <w:bookmarkEnd w:id="4"/>
    </w:p>
    <w:tbl>
      <w:tblPr>
        <w:tblStyle w:val="21"/>
        <w:tblW w:w="8776" w:type="dxa"/>
        <w:tblInd w:w="56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27" w:type="dxa"/>
          <w:bottom w:w="0" w:type="dxa"/>
          <w:right w:w="108" w:type="dxa"/>
        </w:tblCellMar>
      </w:tblPr>
      <w:tblGrid>
        <w:gridCol w:w="4107"/>
        <w:gridCol w:w="46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76" w:type="dxa"/>
            <w:gridSpan w:val="2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  <w:sz w:val="24"/>
                <w:lang w:eastAsia="ja-JP"/>
              </w:rPr>
            </w:pPr>
            <w:r>
              <w:rPr>
                <w:rFonts w:hint="eastAsia" w:cs="MS PGothic" w:asciiTheme="minorEastAsia" w:hAnsiTheme="minorEastAsia"/>
                <w:b/>
                <w:kern w:val="0"/>
                <w:sz w:val="24"/>
                <w:szCs w:val="20"/>
                <w:lang w:eastAsia="ja-JP"/>
              </w:rPr>
              <w:t>控制参数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</w:rPr>
            </w:pPr>
            <w:r>
              <w:rPr>
                <w:rFonts w:hint="eastAsia" w:cs="MS PGothic" w:asciiTheme="minorEastAsia" w:hAnsiTheme="minorEastAsia"/>
                <w:kern w:val="0"/>
              </w:rPr>
              <w:t>输出</w:t>
            </w:r>
            <w:r>
              <w:rPr>
                <w:rFonts w:cs="MS PGothic" w:asciiTheme="minorEastAsia" w:hAnsiTheme="minorEastAsia"/>
                <w:kern w:val="0"/>
              </w:rPr>
              <w:t>电压范围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bCs/>
                <w:kern w:val="0"/>
                <w:lang w:eastAsia="ja-JP"/>
              </w:rPr>
              <w:t>0～750Vdc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</w:rPr>
            </w:pPr>
            <w:r>
              <w:rPr>
                <w:rFonts w:hint="eastAsia" w:cs="MS PGothic" w:asciiTheme="minorEastAsia" w:hAnsiTheme="minorEastAsia"/>
                <w:kern w:val="0"/>
              </w:rPr>
              <w:t>额定</w:t>
            </w:r>
            <w:r>
              <w:rPr>
                <w:rFonts w:cs="MS PGothic" w:asciiTheme="minorEastAsia" w:hAnsiTheme="minorEastAsia"/>
                <w:kern w:val="0"/>
              </w:rPr>
              <w:t>转速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</w:rPr>
              <w:t>52</w:t>
            </w:r>
            <w:r>
              <w:rPr>
                <w:rFonts w:cs="MS PGothic"/>
                <w:kern w:val="0"/>
                <w:lang w:eastAsia="ja-JP"/>
              </w:rPr>
              <w:t>rpm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</w:rPr>
            </w:pPr>
            <w:r>
              <w:rPr>
                <w:rFonts w:hint="eastAsia" w:cs="MS PGothic" w:asciiTheme="minorEastAsia" w:hAnsiTheme="minorEastAsia"/>
                <w:kern w:val="0"/>
              </w:rPr>
              <w:t>最大控制</w:t>
            </w:r>
            <w:r>
              <w:rPr>
                <w:rFonts w:cs="MS PGothic" w:asciiTheme="minorEastAsia" w:hAnsiTheme="minorEastAsia"/>
                <w:kern w:val="0"/>
              </w:rPr>
              <w:t>转速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</w:rPr>
              <w:t>62</w:t>
            </w:r>
            <w:r>
              <w:rPr>
                <w:rFonts w:cs="MS PGothic"/>
                <w:kern w:val="0"/>
                <w:lang w:eastAsia="ja-JP"/>
              </w:rPr>
              <w:t>rpm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  <w:lang w:eastAsia="ja-JP"/>
              </w:rPr>
            </w:pPr>
            <w:r>
              <w:rPr>
                <w:rFonts w:hint="eastAsia" w:cs="MS PGothic" w:asciiTheme="minorEastAsia" w:hAnsiTheme="minorEastAsia"/>
                <w:kern w:val="0"/>
                <w:lang w:eastAsia="ja-JP"/>
              </w:rPr>
              <w:t>偏航速度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0.55 °/s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ind w:right="1577"/>
              <w:rPr>
                <w:rFonts w:cs="MS PGothic" w:asciiTheme="minorEastAsia" w:hAnsiTheme="minorEastAsia"/>
                <w:kern w:val="0"/>
                <w:lang w:eastAsia="ja-JP"/>
              </w:rPr>
            </w:pPr>
            <w:r>
              <w:rPr>
                <w:rFonts w:hint="eastAsia" w:cs="MS PGothic" w:asciiTheme="minorEastAsia" w:hAnsiTheme="minorEastAsia"/>
                <w:kern w:val="0"/>
                <w:lang w:eastAsia="ja-JP"/>
              </w:rPr>
              <w:t>偏航精度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ind w:right="-115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&lt;3.2°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76" w:type="dxa"/>
            <w:gridSpan w:val="2"/>
            <w:vAlign w:val="center"/>
          </w:tcPr>
          <w:p>
            <w:pPr>
              <w:spacing w:line="276" w:lineRule="auto"/>
              <w:rPr>
                <w:rFonts w:cs="MS PGothic"/>
                <w:spacing w:val="-1"/>
                <w:kern w:val="0"/>
                <w:sz w:val="24"/>
                <w:lang w:eastAsia="ja-JP"/>
              </w:rPr>
            </w:pPr>
            <w:r>
              <w:rPr>
                <w:rFonts w:hint="eastAsia" w:cs="MS PGothic"/>
                <w:b/>
                <w:kern w:val="0"/>
                <w:sz w:val="24"/>
                <w:szCs w:val="20"/>
                <w:lang w:eastAsia="ja-JP"/>
              </w:rPr>
              <w:t>环境参数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ind w:right="2897"/>
              <w:rPr>
                <w:rFonts w:cs="MS PGothic" w:asciiTheme="minorEastAsia" w:hAnsiTheme="minorEastAsia"/>
                <w:kern w:val="0"/>
                <w:lang w:eastAsia="ja-JP"/>
              </w:rPr>
            </w:pPr>
            <w:r>
              <w:rPr>
                <w:rFonts w:hint="eastAsia" w:cs="MS PGothic" w:asciiTheme="minorEastAsia" w:hAnsiTheme="minorEastAsia"/>
                <w:kern w:val="0"/>
              </w:rPr>
              <w:t>工作</w:t>
            </w:r>
            <w:r>
              <w:rPr>
                <w:rFonts w:hint="eastAsia" w:cs="MS PGothic" w:asciiTheme="minorEastAsia" w:hAnsiTheme="minorEastAsia"/>
                <w:kern w:val="0"/>
                <w:lang w:eastAsia="ja-JP"/>
              </w:rPr>
              <w:t>温度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ind w:right="2897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-20</w:t>
            </w:r>
            <w:r>
              <w:rPr>
                <w:rFonts w:hint="eastAsia" w:ascii="宋体" w:hAnsi="宋体" w:eastAsia="宋体" w:cs="宋体"/>
                <w:kern w:val="0"/>
                <w:lang w:eastAsia="ja-JP"/>
              </w:rPr>
              <w:t>℃</w:t>
            </w:r>
            <w:r>
              <w:rPr>
                <w:rFonts w:eastAsia="MS Mincho" w:cs="MS Mincho" w:asciiTheme="majorHAnsi" w:hAnsiTheme="majorHAnsi"/>
                <w:kern w:val="0"/>
                <w:lang w:eastAsia="ja-JP"/>
              </w:rPr>
              <w:t>〜</w:t>
            </w:r>
            <w:r>
              <w:rPr>
                <w:rFonts w:cs="MS PGothic"/>
                <w:kern w:val="0"/>
                <w:lang w:eastAsia="ja-JP"/>
              </w:rPr>
              <w:t>+50</w:t>
            </w:r>
            <w:r>
              <w:rPr>
                <w:rFonts w:hint="eastAsia" w:ascii="宋体" w:hAnsi="宋体" w:eastAsia="宋体" w:cs="宋体"/>
                <w:kern w:val="0"/>
                <w:lang w:eastAsia="ja-JP"/>
              </w:rPr>
              <w:t>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  <w:lang w:eastAsia="ja-JP"/>
              </w:rPr>
            </w:pPr>
            <w:r>
              <w:rPr>
                <w:rFonts w:hint="eastAsia" w:cs="MS PGothic" w:asciiTheme="minorEastAsia" w:hAnsiTheme="minorEastAsia"/>
                <w:kern w:val="0"/>
                <w:lang w:eastAsia="ja-JP"/>
              </w:rPr>
              <w:t>保存温度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-30</w:t>
            </w:r>
            <w:r>
              <w:rPr>
                <w:rFonts w:hint="eastAsia" w:ascii="宋体" w:hAnsi="宋体" w:eastAsia="宋体" w:cs="宋体"/>
                <w:kern w:val="0"/>
                <w:lang w:eastAsia="ja-JP"/>
              </w:rPr>
              <w:t>℃</w:t>
            </w:r>
            <w:r>
              <w:rPr>
                <w:rFonts w:eastAsia="MS Mincho" w:cs="MS Mincho"/>
                <w:kern w:val="0"/>
                <w:lang w:eastAsia="ja-JP"/>
              </w:rPr>
              <w:t>〜</w:t>
            </w:r>
            <w:r>
              <w:rPr>
                <w:rFonts w:cs="MS PGothic"/>
                <w:kern w:val="0"/>
                <w:lang w:eastAsia="ja-JP"/>
              </w:rPr>
              <w:t>+60</w:t>
            </w:r>
            <w:r>
              <w:rPr>
                <w:rFonts w:hint="eastAsia" w:ascii="宋体" w:hAnsi="宋体" w:eastAsia="宋体" w:cs="宋体"/>
                <w:kern w:val="0"/>
                <w:lang w:eastAsia="ja-JP"/>
              </w:rPr>
              <w:t>℃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</w:rPr>
            </w:pPr>
            <w:r>
              <w:rPr>
                <w:rFonts w:hint="eastAsia" w:cs="MS PGothic" w:asciiTheme="minorEastAsia" w:hAnsiTheme="minorEastAsia"/>
                <w:kern w:val="0"/>
              </w:rPr>
              <w:t>相对湿度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&lt;90％RH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 w:asciiTheme="minorEastAsia" w:hAnsiTheme="minorEastAsia"/>
                <w:kern w:val="0"/>
                <w:lang w:eastAsia="ja-JP"/>
              </w:rPr>
            </w:pPr>
            <w:r>
              <w:rPr>
                <w:rFonts w:hint="eastAsia" w:cs="MS PGothic" w:asciiTheme="minorEastAsia" w:hAnsiTheme="minorEastAsia"/>
                <w:kern w:val="0"/>
                <w:lang w:eastAsia="ja-JP"/>
              </w:rPr>
              <w:t>海抜高度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&lt;1000m</w:t>
            </w:r>
          </w:p>
        </w:tc>
      </w:tr>
    </w:tbl>
    <w:p>
      <w:pPr>
        <w:widowControl/>
        <w:jc w:val="left"/>
        <w:rPr>
          <w:rFonts w:ascii="MS PGothic" w:hAnsi="MS PGothic" w:eastAsia="MS PGothic" w:cs="MS PGothic"/>
          <w:sz w:val="24"/>
          <w:lang w:eastAsia="ja-JP"/>
        </w:rPr>
      </w:pPr>
      <w:r>
        <w:rPr>
          <w:rFonts w:ascii="MS PGothic" w:hAnsi="MS PGothic" w:eastAsia="MS PGothic" w:cs="MS PGothic"/>
          <w:sz w:val="24"/>
          <w:lang w:eastAsia="ja-JP"/>
        </w:rPr>
        <w:br w:type="page"/>
      </w:r>
    </w:p>
    <w:p>
      <w:pPr>
        <w:pStyle w:val="2"/>
        <w:spacing w:before="62" w:beforeLines="0" w:after="31" w:afterLines="0" w:line="276" w:lineRule="auto"/>
        <w:ind w:firstLine="124" w:firstLineChars="44"/>
        <w:rPr>
          <w:bCs/>
          <w:lang w:eastAsia="ja-JP"/>
        </w:rPr>
      </w:pPr>
      <w:bookmarkStart w:id="5" w:name="_Toc35514322"/>
      <w:r>
        <w:rPr>
          <w:rFonts w:hint="eastAsia"/>
        </w:rPr>
        <w:t>并网逆变器</w:t>
      </w:r>
      <w:bookmarkEnd w:id="5"/>
    </w:p>
    <w:tbl>
      <w:tblPr>
        <w:tblStyle w:val="21"/>
        <w:tblW w:w="8776" w:type="dxa"/>
        <w:tblInd w:w="56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27" w:type="dxa"/>
          <w:bottom w:w="0" w:type="dxa"/>
          <w:right w:w="108" w:type="dxa"/>
        </w:tblCellMar>
      </w:tblPr>
      <w:tblGrid>
        <w:gridCol w:w="4107"/>
        <w:gridCol w:w="46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b/>
                <w:kern w:val="0"/>
              </w:rPr>
            </w:pPr>
            <w:r>
              <w:rPr>
                <w:rFonts w:hint="eastAsia" w:cs="MS PGothic"/>
                <w:b/>
                <w:kern w:val="0"/>
              </w:rPr>
              <w:t>型号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b/>
                <w:kern w:val="0"/>
                <w:lang w:eastAsia="ja-JP"/>
              </w:rPr>
            </w:pPr>
            <w:r>
              <w:rPr>
                <w:rFonts w:cs="MS PGothic"/>
                <w:b/>
                <w:kern w:val="0"/>
                <w:lang w:eastAsia="ja-JP"/>
              </w:rPr>
              <w:t>GNW</w:t>
            </w:r>
            <w:r>
              <w:rPr>
                <w:rFonts w:cs="MS PGothic"/>
                <w:b/>
                <w:kern w:val="0"/>
              </w:rPr>
              <w:t>60</w:t>
            </w:r>
            <w:r>
              <w:rPr>
                <w:rFonts w:cs="MS PGothic"/>
                <w:b/>
                <w:kern w:val="0"/>
                <w:lang w:eastAsia="ja-JP"/>
              </w:rPr>
              <w:t>K3G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76" w:type="dxa"/>
            <w:gridSpan w:val="2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b/>
                <w:kern w:val="0"/>
                <w:lang w:eastAsia="ja-JP"/>
              </w:rPr>
            </w:pPr>
            <w:r>
              <w:rPr>
                <w:rFonts w:cs="MS PGothic"/>
                <w:b/>
                <w:kern w:val="0"/>
                <w:lang w:eastAsia="ja-JP"/>
              </w:rPr>
              <w:t>直流输入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工作电压范围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380V ～ 680VDC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最高输入电压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750VDC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76" w:type="dxa"/>
            <w:gridSpan w:val="2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Times New Roman"/>
                <w:b/>
                <w:kern w:val="0"/>
              </w:rPr>
              <w:t>并网输出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</w:rPr>
            </w:pPr>
            <w:r>
              <w:rPr>
                <w:rFonts w:hint="eastAsia" w:cs="MS PGothic"/>
                <w:kern w:val="0"/>
              </w:rPr>
              <w:t>额定输出</w:t>
            </w:r>
            <w:r>
              <w:rPr>
                <w:rFonts w:cs="MS PGothic"/>
                <w:kern w:val="0"/>
              </w:rPr>
              <w:t>功率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</w:rPr>
              <w:t>60</w:t>
            </w:r>
            <w:r>
              <w:rPr>
                <w:rFonts w:cs="MS PGothic"/>
                <w:kern w:val="0"/>
                <w:lang w:eastAsia="ja-JP"/>
              </w:rPr>
              <w:t>kW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额定电网电压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400V±15% 3相3</w:t>
            </w:r>
            <w:r>
              <w:rPr>
                <w:rFonts w:hint="eastAsia" w:cs="MS PGothic"/>
                <w:kern w:val="0"/>
              </w:rPr>
              <w:t>线</w:t>
            </w:r>
            <w:r>
              <w:rPr>
                <w:rFonts w:cs="MS PGothic"/>
                <w:kern w:val="0"/>
                <w:lang w:eastAsia="ja-JP"/>
              </w:rPr>
              <w:t>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额定工作频率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50/60Hz ± 5%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</w:rPr>
              <w:t>功率因数</w:t>
            </w:r>
            <w:r>
              <w:rPr>
                <w:rFonts w:cs="MS PGothic"/>
                <w:kern w:val="0"/>
                <w:lang w:eastAsia="ja-JP"/>
              </w:rPr>
              <w:t>(cosθ)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&gt;0.99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最大逆变效率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≥94%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谐波含量(THD)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电流谐波总和&lt;5%，各次&lt;3%(额定功率)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76" w:type="dxa"/>
            <w:gridSpan w:val="2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Times New Roman"/>
                <w:b/>
                <w:kern w:val="0"/>
              </w:rPr>
              <w:t>显示</w:t>
            </w:r>
            <w:r>
              <w:rPr>
                <w:rFonts w:cs="Times New Roman"/>
                <w:b/>
                <w:kern w:val="0"/>
              </w:rPr>
              <w:t>与通信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</w:rPr>
            </w:pPr>
            <w:r>
              <w:rPr>
                <w:rFonts w:hint="eastAsia" w:cs="MS PGothic"/>
                <w:kern w:val="0"/>
              </w:rPr>
              <w:t>显示面板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LCD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通讯接口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RS485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776" w:type="dxa"/>
            <w:gridSpan w:val="2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Times New Roman"/>
                <w:b/>
                <w:kern w:val="0"/>
              </w:rPr>
              <w:t>系统应用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rPr>
                <w:rFonts w:cs="MS PGothic"/>
                <w:kern w:val="0"/>
              </w:rPr>
            </w:pPr>
            <w:r>
              <w:rPr>
                <w:rFonts w:hint="eastAsia" w:cs="MS PGothic"/>
                <w:kern w:val="0"/>
              </w:rPr>
              <w:t>逆变器数量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</w:rPr>
              <w:t>1</w:t>
            </w:r>
            <w:r>
              <w:rPr>
                <w:rFonts w:cs="MS PGothic"/>
                <w:kern w:val="0"/>
                <w:lang w:eastAsia="ja-JP"/>
              </w:rPr>
              <w:t>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tabs>
                <w:tab w:val="left" w:pos="6289"/>
              </w:tabs>
              <w:rPr>
                <w:rFonts w:cs="MS PGothic"/>
                <w:kern w:val="0"/>
              </w:rPr>
            </w:pPr>
            <w:r>
              <w:rPr>
                <w:rFonts w:hint="eastAsia" w:cs="MS PGothic"/>
                <w:kern w:val="0"/>
              </w:rPr>
              <w:t>系统额定</w:t>
            </w:r>
            <w:r>
              <w:rPr>
                <w:rFonts w:cs="MS PGothic"/>
                <w:kern w:val="0"/>
              </w:rPr>
              <w:t>功率</w:t>
            </w:r>
          </w:p>
        </w:tc>
        <w:tc>
          <w:tcPr>
            <w:tcW w:w="4669" w:type="dxa"/>
            <w:vAlign w:val="center"/>
          </w:tcPr>
          <w:p>
            <w:pPr>
              <w:tabs>
                <w:tab w:val="left" w:pos="6289"/>
              </w:tabs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60kW</w:t>
            </w:r>
          </w:p>
        </w:tc>
      </w:tr>
    </w:tbl>
    <w:p>
      <w:pPr>
        <w:rPr>
          <w:rFonts w:eastAsia="MS PGothic"/>
          <w:lang w:eastAsia="ja-JP"/>
        </w:rPr>
      </w:pPr>
    </w:p>
    <w:p>
      <w:pPr>
        <w:pStyle w:val="2"/>
        <w:spacing w:before="62" w:beforeLines="0" w:after="31" w:afterLines="0" w:line="276" w:lineRule="auto"/>
        <w:ind w:firstLine="124" w:firstLineChars="44"/>
        <w:rPr>
          <w:bCs/>
          <w:lang w:eastAsia="ja-JP"/>
        </w:rPr>
      </w:pPr>
      <w:bookmarkStart w:id="6" w:name="_Toc35514323"/>
      <w:r>
        <w:rPr>
          <w:rFonts w:hint="eastAsia"/>
        </w:rPr>
        <w:t>塔架</w:t>
      </w:r>
      <w:r>
        <w:t>和地基</w:t>
      </w:r>
      <w:bookmarkEnd w:id="6"/>
    </w:p>
    <w:tbl>
      <w:tblPr>
        <w:tblStyle w:val="21"/>
        <w:tblW w:w="8776" w:type="dxa"/>
        <w:tblInd w:w="562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227" w:type="dxa"/>
          <w:bottom w:w="0" w:type="dxa"/>
          <w:right w:w="108" w:type="dxa"/>
        </w:tblCellMar>
      </w:tblPr>
      <w:tblGrid>
        <w:gridCol w:w="4107"/>
        <w:gridCol w:w="466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/>
                <w:b/>
                <w:bCs/>
                <w:kern w:val="0"/>
                <w:lang w:eastAsia="ja-JP"/>
              </w:rPr>
            </w:pPr>
            <w:r>
              <w:rPr>
                <w:rFonts w:cs="MS PGothic"/>
                <w:b/>
                <w:bCs/>
                <w:kern w:val="0"/>
                <w:lang w:eastAsia="ja-JP"/>
              </w:rPr>
              <w:t>塔架型号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bCs/>
                <w:lang w:eastAsia="ja-JP"/>
              </w:rPr>
              <w:t>TD</w:t>
            </w:r>
            <w:r>
              <w:rPr>
                <w:rFonts w:cs="MS PGothic"/>
                <w:bCs/>
              </w:rPr>
              <w:t>1</w:t>
            </w:r>
            <w:r>
              <w:rPr>
                <w:rFonts w:cs="MS PGothic"/>
                <w:bCs/>
                <w:lang w:eastAsia="ja-JP"/>
              </w:rPr>
              <w:t>-</w:t>
            </w:r>
            <w:r>
              <w:rPr>
                <w:rFonts w:cs="MS PGothic"/>
                <w:bCs/>
              </w:rPr>
              <w:t>3</w:t>
            </w:r>
            <w:r>
              <w:rPr>
                <w:rFonts w:hint="eastAsia" w:cs="MS PGothic"/>
                <w:bCs/>
                <w:lang w:val="en-US" w:eastAsia="zh-CN"/>
              </w:rPr>
              <w:t>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</w:rPr>
            </w:pPr>
            <w:r>
              <w:rPr>
                <w:rFonts w:cs="MS PGothic"/>
                <w:kern w:val="0"/>
              </w:rPr>
              <w:t>高度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</w:rPr>
              <w:t>3</w:t>
            </w:r>
            <w:r>
              <w:rPr>
                <w:rFonts w:hint="eastAsia" w:cs="MS PGothic"/>
                <w:kern w:val="0"/>
                <w:lang w:val="en-US" w:eastAsia="zh-CN"/>
              </w:rPr>
              <w:t>0</w:t>
            </w:r>
            <w:r>
              <w:rPr>
                <w:rFonts w:cs="MS PGothic"/>
                <w:kern w:val="0"/>
                <w:lang w:eastAsia="ja-JP"/>
              </w:rPr>
              <w:t>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</w:rPr>
            </w:pPr>
            <w:r>
              <w:rPr>
                <w:rFonts w:cs="MS PGothic"/>
                <w:kern w:val="0"/>
              </w:rPr>
              <w:t>段数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</w:rPr>
              <w:t>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eastAsia="MS PGothic"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壁厚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10mm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eastAsia="MS PGothic" w:cs="MS PGothic"/>
                <w:kern w:val="0"/>
              </w:rPr>
            </w:pPr>
            <w:r>
              <w:rPr>
                <w:rFonts w:cs="MS PGothic"/>
                <w:kern w:val="0"/>
                <w:lang w:eastAsia="ja-JP"/>
              </w:rPr>
              <w:t>材</w:t>
            </w:r>
            <w:r>
              <w:rPr>
                <w:rFonts w:hint="eastAsia" w:cs="MS PGothic"/>
                <w:kern w:val="0"/>
              </w:rPr>
              <w:t>制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spacing w:val="3"/>
                <w:kern w:val="0"/>
                <w:lang w:eastAsia="ja-JP"/>
              </w:rPr>
              <w:t>Q345B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ind w:right="1577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法兰直径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ind w:right="-115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1000mm（上部） / 2100mm（下部）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ind w:right="2427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表面处理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spacing w:val="-1"/>
                <w:kern w:val="0"/>
              </w:rPr>
            </w:pPr>
            <w:r>
              <w:rPr>
                <w:rFonts w:hint="eastAsia" w:cs="MS PGothic"/>
                <w:spacing w:val="-1"/>
                <w:kern w:val="0"/>
              </w:rPr>
              <w:t>油漆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ind w:right="2897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重量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ind w:right="2897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kern w:val="0"/>
                <w:lang w:eastAsia="ja-JP"/>
              </w:rPr>
              <w:t>1</w:t>
            </w:r>
            <w:r>
              <w:rPr>
                <w:rFonts w:hint="eastAsia" w:cs="MS PGothic"/>
                <w:kern w:val="0"/>
                <w:lang w:val="en-US" w:eastAsia="zh-CN"/>
              </w:rPr>
              <w:t>39</w:t>
            </w:r>
            <w:r>
              <w:rPr>
                <w:rFonts w:cs="MS PGothic"/>
                <w:kern w:val="0"/>
                <w:lang w:eastAsia="ja-JP"/>
              </w:rPr>
              <w:t>0</w:t>
            </w:r>
            <w:r>
              <w:rPr>
                <w:rFonts w:hint="eastAsia" w:cs="MS PGothic"/>
                <w:kern w:val="0"/>
                <w:lang w:val="en-US" w:eastAsia="zh-CN"/>
              </w:rPr>
              <w:t>0</w:t>
            </w:r>
            <w:r>
              <w:rPr>
                <w:rFonts w:cs="MS PGothic"/>
                <w:kern w:val="0"/>
                <w:lang w:eastAsia="ja-JP"/>
              </w:rPr>
              <w:t>kg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227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4107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hint="eastAsia" w:cs="MS PGothic"/>
                <w:kern w:val="0"/>
                <w:lang w:eastAsia="ja-JP"/>
              </w:rPr>
              <w:t>基本尺寸（参考值）</w:t>
            </w:r>
          </w:p>
        </w:tc>
        <w:tc>
          <w:tcPr>
            <w:tcW w:w="4669" w:type="dxa"/>
            <w:vAlign w:val="center"/>
          </w:tcPr>
          <w:p>
            <w:pPr>
              <w:spacing w:line="276" w:lineRule="auto"/>
              <w:rPr>
                <w:rFonts w:cs="MS PGothic"/>
                <w:kern w:val="0"/>
                <w:lang w:eastAsia="ja-JP"/>
              </w:rPr>
            </w:pPr>
            <w:r>
              <w:rPr>
                <w:rFonts w:cs="MS PGothic"/>
                <w:spacing w:val="3"/>
                <w:kern w:val="0"/>
                <w:position w:val="1"/>
              </w:rPr>
              <w:t>7mx7mx1.2m</w:t>
            </w:r>
          </w:p>
        </w:tc>
      </w:tr>
    </w:tbl>
    <w:p>
      <w:pPr>
        <w:pStyle w:val="13"/>
        <w:rPr>
          <w:rFonts w:asciiTheme="minorHAnsi" w:hAnsiTheme="minorHAnsi" w:eastAsiaTheme="minorEastAsia" w:cstheme="minorBidi"/>
          <w:sz w:val="21"/>
          <w:szCs w:val="21"/>
        </w:rPr>
      </w:pPr>
    </w:p>
    <w:p>
      <w:pPr>
        <w:pStyle w:val="13"/>
        <w:rPr>
          <w:rFonts w:asciiTheme="minorHAnsi" w:hAnsiTheme="minorHAnsi" w:eastAsiaTheme="minorEastAsia" w:cstheme="minorBidi"/>
          <w:sz w:val="21"/>
          <w:szCs w:val="21"/>
        </w:rPr>
      </w:pPr>
    </w:p>
    <w:p>
      <w:pPr>
        <w:pStyle w:val="13"/>
        <w:jc w:val="center"/>
        <w:rPr>
          <w:rFonts w:asciiTheme="minorHAnsi" w:hAnsiTheme="minorHAnsi" w:eastAsiaTheme="minorEastAsia" w:cstheme="minorBidi"/>
          <w:sz w:val="21"/>
          <w:szCs w:val="21"/>
        </w:rPr>
      </w:pPr>
      <w:r>
        <w:drawing>
          <wp:inline distT="0" distB="0" distL="114300" distR="114300">
            <wp:extent cx="4671060" cy="625602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625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rPr>
          <w:rFonts w:asciiTheme="minorHAnsi" w:hAnsiTheme="minorHAnsi" w:eastAsiaTheme="minorEastAsia" w:cstheme="minorBidi"/>
          <w:sz w:val="21"/>
          <w:szCs w:val="21"/>
        </w:rPr>
      </w:pPr>
    </w:p>
    <w:p>
      <w:pPr>
        <w:widowControl/>
        <w:jc w:val="left"/>
      </w:pPr>
      <w:r>
        <w:br w:type="page"/>
      </w:r>
    </w:p>
    <w:p>
      <w:pPr>
        <w:pStyle w:val="2"/>
        <w:spacing w:before="62" w:beforeLines="0" w:after="31" w:afterLines="0" w:line="276" w:lineRule="auto"/>
        <w:ind w:firstLine="124" w:firstLineChars="44"/>
      </w:pPr>
      <w:bookmarkStart w:id="7" w:name="_Toc35514324"/>
      <w:r>
        <w:rPr>
          <w:rFonts w:hint="eastAsia"/>
        </w:rPr>
        <w:t>SCADA远程</w:t>
      </w:r>
      <w:r>
        <w:t>监控</w:t>
      </w:r>
      <w:bookmarkEnd w:id="7"/>
    </w:p>
    <w:p>
      <w:pPr>
        <w:spacing w:line="300" w:lineRule="auto"/>
        <w:ind w:left="420"/>
        <w:rPr>
          <w:sz w:val="24"/>
        </w:rPr>
      </w:pPr>
      <w:r>
        <w:rPr>
          <w:sz w:val="24"/>
        </w:rPr>
        <w:t>远程监控系统</w:t>
      </w:r>
      <w:r>
        <w:rPr>
          <w:rFonts w:hint="eastAsia"/>
          <w:sz w:val="24"/>
        </w:rPr>
        <w:t xml:space="preserve"> </w:t>
      </w:r>
      <w:r>
        <w:rPr>
          <w:sz w:val="24"/>
        </w:rPr>
        <w:t>SCADA CUBE2.0</w:t>
      </w:r>
      <w:r>
        <w:rPr>
          <w:rFonts w:hint="eastAsia"/>
          <w:sz w:val="24"/>
        </w:rPr>
        <w:t>：</w:t>
      </w:r>
    </w:p>
    <w:p>
      <w:pPr>
        <w:numPr>
          <w:ilvl w:val="0"/>
          <w:numId w:val="4"/>
        </w:numPr>
        <w:snapToGrid w:val="0"/>
        <w:spacing w:line="300" w:lineRule="auto"/>
        <w:ind w:right="1338"/>
        <w:rPr>
          <w:rFonts w:asciiTheme="minorEastAsia" w:hAnsiTheme="minorEastAsia"/>
          <w:sz w:val="24"/>
          <w:lang w:eastAsia="ja-JP"/>
        </w:rPr>
      </w:pPr>
      <w:r>
        <w:rPr>
          <w:rFonts w:hint="eastAsia" w:asciiTheme="minorEastAsia" w:hAnsiTheme="minorEastAsia"/>
          <w:sz w:val="24"/>
        </w:rPr>
        <w:t>可</w:t>
      </w:r>
      <w:r>
        <w:rPr>
          <w:rFonts w:asciiTheme="minorEastAsia" w:hAnsiTheme="minorEastAsia"/>
          <w:sz w:val="24"/>
        </w:rPr>
        <w:t>通过</w:t>
      </w:r>
      <w:r>
        <w:rPr>
          <w:rFonts w:hint="eastAsia" w:asciiTheme="minorEastAsia" w:hAnsiTheme="minorEastAsia"/>
          <w:sz w:val="24"/>
          <w:lang w:eastAsia="ja-JP"/>
        </w:rPr>
        <w:t>有线/无线</w:t>
      </w:r>
      <w:r>
        <w:rPr>
          <w:rFonts w:hint="eastAsia" w:asciiTheme="minorEastAsia" w:hAnsiTheme="minorEastAsia"/>
          <w:sz w:val="24"/>
        </w:rPr>
        <w:t>网络进行</w:t>
      </w:r>
      <w:r>
        <w:rPr>
          <w:rFonts w:asciiTheme="minorEastAsia" w:hAnsiTheme="minorEastAsia"/>
          <w:sz w:val="24"/>
        </w:rPr>
        <w:t>数据连接</w:t>
      </w:r>
      <w:r>
        <w:rPr>
          <w:rFonts w:hint="eastAsia" w:asciiTheme="minorEastAsia" w:hAnsiTheme="minorEastAsia"/>
          <w:sz w:val="24"/>
        </w:rPr>
        <w:t>交互</w:t>
      </w:r>
    </w:p>
    <w:p>
      <w:pPr>
        <w:numPr>
          <w:ilvl w:val="0"/>
          <w:numId w:val="4"/>
        </w:numPr>
        <w:snapToGrid w:val="0"/>
        <w:spacing w:line="300" w:lineRule="auto"/>
        <w:ind w:right="1338"/>
        <w:rPr>
          <w:rFonts w:asciiTheme="minorEastAsia" w:hAnsiTheme="minorEastAsia"/>
          <w:sz w:val="24"/>
          <w:lang w:eastAsia="ja-JP"/>
        </w:rPr>
      </w:pPr>
      <w:r>
        <w:rPr>
          <w:rFonts w:hint="eastAsia" w:asciiTheme="minorEastAsia" w:hAnsiTheme="minorEastAsia"/>
          <w:sz w:val="24"/>
        </w:rPr>
        <w:t>进行</w:t>
      </w:r>
      <w:r>
        <w:rPr>
          <w:rFonts w:asciiTheme="minorEastAsia" w:hAnsiTheme="minorEastAsia"/>
          <w:sz w:val="24"/>
        </w:rPr>
        <w:t>系统运行</w:t>
      </w:r>
      <w:r>
        <w:rPr>
          <w:rFonts w:hint="eastAsia" w:asciiTheme="minorEastAsia" w:hAnsiTheme="minorEastAsia"/>
          <w:sz w:val="24"/>
          <w:lang w:eastAsia="ja-JP"/>
        </w:rPr>
        <w:t>运行状态</w:t>
      </w:r>
      <w:r>
        <w:rPr>
          <w:rFonts w:hint="eastAsia" w:asciiTheme="minorEastAsia" w:hAnsiTheme="minorEastAsia"/>
          <w:sz w:val="24"/>
        </w:rPr>
        <w:t>实时</w:t>
      </w:r>
      <w:r>
        <w:rPr>
          <w:rFonts w:hint="eastAsia" w:asciiTheme="minorEastAsia" w:hAnsiTheme="minorEastAsia"/>
          <w:sz w:val="24"/>
          <w:lang w:eastAsia="ja-JP"/>
        </w:rPr>
        <w:t>监控</w:t>
      </w:r>
    </w:p>
    <w:p>
      <w:pPr>
        <w:numPr>
          <w:ilvl w:val="0"/>
          <w:numId w:val="4"/>
        </w:numPr>
        <w:snapToGrid w:val="0"/>
        <w:spacing w:line="300" w:lineRule="auto"/>
        <w:ind w:right="1338"/>
        <w:rPr>
          <w:rFonts w:asciiTheme="minorEastAsia" w:hAnsiTheme="minorEastAsia"/>
          <w:sz w:val="24"/>
          <w:lang w:eastAsia="ja-JP"/>
        </w:rPr>
      </w:pPr>
      <w:r>
        <w:rPr>
          <w:rFonts w:hint="eastAsia" w:asciiTheme="minorEastAsia" w:hAnsiTheme="minorEastAsia"/>
          <w:sz w:val="24"/>
          <w:lang w:eastAsia="ja-JP"/>
        </w:rPr>
        <w:t>通过互联网远程控制风力发电机组</w:t>
      </w:r>
    </w:p>
    <w:p>
      <w:pPr>
        <w:numPr>
          <w:ilvl w:val="0"/>
          <w:numId w:val="4"/>
        </w:numPr>
        <w:snapToGrid w:val="0"/>
        <w:spacing w:line="300" w:lineRule="auto"/>
        <w:ind w:right="1338"/>
        <w:rPr>
          <w:rFonts w:cs="MS PGothic" w:asciiTheme="minorEastAsia" w:hAnsiTheme="minorEastAsia"/>
          <w:sz w:val="24"/>
          <w:lang w:eastAsia="ja-JP"/>
        </w:rPr>
      </w:pPr>
      <w:r>
        <w:rPr>
          <w:rFonts w:hint="eastAsia" w:asciiTheme="minorEastAsia" w:hAnsiTheme="minorEastAsia"/>
          <w:sz w:val="24"/>
          <w:lang w:eastAsia="ja-JP"/>
        </w:rPr>
        <w:t>记录历史记录，发电量，风速</w:t>
      </w:r>
      <w:r>
        <w:rPr>
          <w:rFonts w:hint="eastAsia" w:asciiTheme="minorEastAsia" w:hAnsiTheme="minorEastAsia"/>
          <w:sz w:val="24"/>
        </w:rPr>
        <w:t>等各类</w:t>
      </w:r>
      <w:r>
        <w:rPr>
          <w:rFonts w:asciiTheme="minorEastAsia" w:hAnsiTheme="minorEastAsia"/>
          <w:sz w:val="24"/>
        </w:rPr>
        <w:t>历史数据</w:t>
      </w:r>
    </w:p>
    <w:p>
      <w:pPr>
        <w:widowControl/>
        <w:jc w:val="left"/>
        <w:rPr>
          <w:rFonts w:cs="MS PGothic" w:asciiTheme="minorEastAsia" w:hAnsiTheme="minorEastAsia"/>
          <w:sz w:val="24"/>
          <w:lang w:eastAsia="ja-JP"/>
        </w:rPr>
      </w:pPr>
    </w:p>
    <w:p>
      <w:pPr>
        <w:widowControl/>
        <w:jc w:val="right"/>
        <w:rPr>
          <w:rFonts w:cs="MS PGothic" w:asciiTheme="minorEastAsia" w:hAnsiTheme="minorEastAsia"/>
          <w:sz w:val="24"/>
          <w:lang w:eastAsia="ja-JP"/>
        </w:rPr>
      </w:pPr>
      <w:r>
        <w:drawing>
          <wp:inline distT="0" distB="0" distL="0" distR="0">
            <wp:extent cx="5791200" cy="2284095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l="1" t="13304" r="-690"/>
                    <a:stretch>
                      <a:fillRect/>
                    </a:stretch>
                  </pic:blipFill>
                  <pic:spPr>
                    <a:xfrm>
                      <a:off x="0" y="0"/>
                      <a:ext cx="5792486" cy="228460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cs="MS PGothic" w:asciiTheme="minorEastAsia" w:hAnsiTheme="minorEastAsia"/>
          <w:sz w:val="24"/>
          <w:lang w:eastAsia="ja-JP"/>
        </w:rPr>
      </w:pPr>
    </w:p>
    <w:p>
      <w:pPr>
        <w:widowControl/>
        <w:jc w:val="left"/>
        <w:rPr>
          <w:rFonts w:cs="MS PGothic" w:asciiTheme="minorEastAsia" w:hAnsiTheme="minorEastAsia"/>
          <w:sz w:val="24"/>
          <w:lang w:eastAsia="ja-JP"/>
        </w:rPr>
      </w:pPr>
    </w:p>
    <w:p>
      <w:pPr>
        <w:widowControl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276" w:lineRule="auto"/>
        <w:jc w:val="left"/>
        <w:rPr>
          <w:rFonts w:asciiTheme="minorEastAsia" w:hAnsiTheme="minorEastAsia"/>
          <w:b/>
          <w:szCs w:val="28"/>
        </w:rPr>
      </w:pPr>
    </w:p>
    <w:p>
      <w:pPr>
        <w:widowControl/>
        <w:spacing w:line="300" w:lineRule="auto"/>
        <w:jc w:val="left"/>
        <w:rPr>
          <w:rFonts w:eastAsia="黑体" w:asciiTheme="majorHAnsi" w:hAnsiTheme="majorHAnsi"/>
          <w:b/>
          <w:sz w:val="24"/>
        </w:rPr>
      </w:pPr>
      <w:r>
        <w:rPr>
          <w:rFonts w:eastAsia="黑体" w:asciiTheme="majorHAnsi" w:hAnsiTheme="majorHAnsi"/>
          <w:b/>
          <w:sz w:val="22"/>
        </w:rPr>
        <w:tab/>
      </w:r>
      <w:r>
        <w:rPr>
          <w:rFonts w:eastAsia="黑体" w:asciiTheme="majorHAnsi" w:hAnsiTheme="majorHAnsi"/>
          <w:b/>
          <w:sz w:val="24"/>
        </w:rPr>
        <w:t>地址 ： 上海市松江区</w:t>
      </w:r>
      <w:r>
        <w:rPr>
          <w:rFonts w:hint="eastAsia" w:eastAsia="黑体" w:asciiTheme="majorHAnsi" w:hAnsiTheme="majorHAnsi"/>
          <w:b/>
          <w:sz w:val="24"/>
        </w:rPr>
        <w:t>通巨路58号</w:t>
      </w:r>
    </w:p>
    <w:p>
      <w:pPr>
        <w:widowControl/>
        <w:spacing w:line="300" w:lineRule="auto"/>
        <w:ind w:firstLine="420"/>
        <w:jc w:val="left"/>
        <w:rPr>
          <w:rFonts w:eastAsia="黑体" w:asciiTheme="majorHAnsi" w:hAnsiTheme="majorHAnsi"/>
          <w:b/>
          <w:sz w:val="24"/>
        </w:rPr>
      </w:pPr>
      <w:r>
        <w:rPr>
          <w:rFonts w:eastAsia="黑体" w:asciiTheme="majorHAnsi" w:hAnsiTheme="majorHAnsi"/>
          <w:b/>
          <w:sz w:val="24"/>
        </w:rPr>
        <w:t>电话 ： 021-37832332</w:t>
      </w:r>
    </w:p>
    <w:p>
      <w:pPr>
        <w:widowControl/>
        <w:spacing w:line="300" w:lineRule="auto"/>
        <w:ind w:firstLine="420"/>
        <w:jc w:val="left"/>
        <w:rPr>
          <w:rFonts w:eastAsia="黑体" w:asciiTheme="majorHAnsi" w:hAnsiTheme="majorHAnsi"/>
          <w:b/>
          <w:sz w:val="24"/>
        </w:rPr>
      </w:pPr>
      <w:r>
        <w:rPr>
          <w:rFonts w:eastAsia="黑体" w:asciiTheme="majorHAnsi" w:hAnsiTheme="majorHAnsi"/>
          <w:b/>
          <w:sz w:val="24"/>
        </w:rPr>
        <w:t>传真 ： 021-37832356</w:t>
      </w:r>
    </w:p>
    <w:p>
      <w:pPr>
        <w:widowControl/>
        <w:spacing w:line="300" w:lineRule="auto"/>
        <w:ind w:firstLine="420"/>
        <w:jc w:val="left"/>
        <w:rPr>
          <w:rFonts w:eastAsia="黑体" w:asciiTheme="majorHAnsi" w:hAnsiTheme="majorHAnsi"/>
          <w:b/>
          <w:sz w:val="24"/>
        </w:rPr>
      </w:pPr>
      <w:r>
        <w:rPr>
          <w:rFonts w:eastAsia="黑体" w:asciiTheme="majorHAnsi" w:hAnsiTheme="majorHAnsi"/>
          <w:b/>
          <w:sz w:val="24"/>
        </w:rPr>
        <w:t>邮箱 ： info@ghrepower.com</w:t>
      </w:r>
    </w:p>
    <w:p>
      <w:pPr>
        <w:widowControl/>
        <w:spacing w:line="300" w:lineRule="auto"/>
        <w:ind w:firstLine="420"/>
        <w:jc w:val="left"/>
      </w:pPr>
      <w:r>
        <w:rPr>
          <w:rFonts w:eastAsia="黑体" w:asciiTheme="majorHAnsi" w:hAnsiTheme="majorHAnsi"/>
          <w:b/>
          <w:sz w:val="24"/>
        </w:rPr>
        <w:t>网址 ： www.ghrepower.com</w:t>
      </w:r>
    </w:p>
    <w:sectPr>
      <w:headerReference r:id="rId3" w:type="default"/>
      <w:footerReference r:id="rId4" w:type="default"/>
      <w:pgSz w:w="11906" w:h="16838"/>
      <w:pgMar w:top="1361" w:right="1134" w:bottom="1247" w:left="1418" w:header="567" w:footer="794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MS Mincho">
    <w:altName w:val="Kozuka Mincho Pr6N R"/>
    <w:panose1 w:val="02020609040205080304"/>
    <w:charset w:val="80"/>
    <w:family w:val="modern"/>
    <w:pitch w:val="default"/>
    <w:sig w:usb0="00000000" w:usb1="00000000" w:usb2="00000012" w:usb3="00000000" w:csb0="0002009F" w:csb1="00000000"/>
  </w:font>
  <w:font w:name="Kozuka Mincho Pr6N R">
    <w:panose1 w:val="02020400000000000000"/>
    <w:charset w:val="80"/>
    <w:family w:val="auto"/>
    <w:pitch w:val="default"/>
    <w:sig w:usb0="000002D7" w:usb1="2AC71C11" w:usb2="00000012" w:usb3="00000000" w:csb0="2002009F" w:csb1="00000000"/>
  </w:font>
  <w:font w:name="MSPGothic">
    <w:altName w:val="Segoe Print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MS PGothic (标题)">
    <w:altName w:val="MS PGothic"/>
    <w:panose1 w:val="00000000000000000000"/>
    <w:charset w:val="01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right="160"/>
      <w:jc w:val="right"/>
    </w:pPr>
    <w:r>
      <w:rPr>
        <w:color w:val="241AF2"/>
        <w:sz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-5715</wp:posOffset>
              </wp:positionH>
              <wp:positionV relativeFrom="paragraph">
                <wp:posOffset>-54610</wp:posOffset>
              </wp:positionV>
              <wp:extent cx="5934075" cy="0"/>
              <wp:effectExtent l="0" t="0" r="28575" b="19050"/>
              <wp:wrapNone/>
              <wp:docPr id="9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3407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tx1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26" o:spid="_x0000_s1026" o:spt="20" style="position:absolute;left:0pt;margin-left:-0.45pt;margin-top:-4.3pt;height:0pt;width:467.25pt;z-index:251660288;mso-width-relative:page;mso-height-relative:page;" filled="f" stroked="t" coordsize="21600,21600" o:gfxdata="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">
              <v:fill on="f" focussize="0,0"/>
              <v:stroke color="#000000 [3213]" joinstyle="round"/>
              <v:imagedata o:title=""/>
              <o:lock v:ext="edit" aspectratio="f"/>
            </v:line>
          </w:pict>
        </mc:Fallback>
      </mc:AlternateContent>
    </w:r>
    <w:r>
      <w:rPr>
        <w:rFonts w:hint="eastAsia"/>
      </w:rPr>
      <w:t>版本：ZY1.603.036GS(</w:t>
    </w:r>
    <w:r>
      <w:t>V1.00)</w:t>
    </w:r>
    <w:r>
      <w:ptab w:relativeTo="margin" w:alignment="center" w:leader="none"/>
    </w:r>
    <w:r>
      <w:rPr>
        <w:lang w:val="zh-CN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 xml:space="preserve">PAGE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9</w:t>
    </w:r>
    <w:r>
      <w:rPr>
        <w:b/>
        <w:bCs/>
      </w:rPr>
      <w:fldChar w:fldCharType="end"/>
    </w:r>
    <w:r>
      <w:rPr>
        <w:lang w:val="zh-CN"/>
      </w:rPr>
      <w:t xml:space="preserve"> / </w:t>
    </w:r>
    <w:r>
      <w:rPr>
        <w:b/>
        <w:bCs/>
      </w:rPr>
      <w:fldChar w:fldCharType="begin"/>
    </w:r>
    <w:r>
      <w:rPr>
        <w:b/>
        <w:bCs/>
      </w:rPr>
      <w:instrText xml:space="preserve">NUMPAGES  \* Arabic  \* MERGEFORMAT</w:instrText>
    </w:r>
    <w:r>
      <w:rPr>
        <w:b/>
        <w:bCs/>
      </w:rPr>
      <w:fldChar w:fldCharType="separate"/>
    </w:r>
    <w:r>
      <w:rPr>
        <w:b/>
        <w:bCs/>
        <w:lang w:val="zh-CN"/>
      </w:rPr>
      <w:t>9</w:t>
    </w:r>
    <w:r>
      <w:rPr>
        <w:b/>
        <w:bCs/>
      </w:rPr>
      <w:fldChar w:fldCharType="end"/>
    </w:r>
    <w:r>
      <w:ptab w:relativeTo="margin" w:alignment="right" w:leader="none"/>
    </w:r>
    <w:r>
      <w:rPr>
        <w:rFonts w:hint="eastAsia"/>
      </w:rPr>
      <w:t>更新：2019-</w:t>
    </w:r>
    <w:r>
      <w:t>06-05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tabs>
        <w:tab w:val="left" w:pos="525"/>
        <w:tab w:val="right" w:pos="7431"/>
      </w:tabs>
      <w:ind w:firstLine="80" w:firstLineChars="50"/>
      <w:jc w:val="both"/>
      <w:rPr>
        <w:b w:val="0"/>
        <w:color w:val="000099"/>
        <w:sz w:val="16"/>
      </w:rPr>
    </w:pPr>
    <w:r>
      <w:rPr>
        <w:color w:val="241AF2"/>
        <w:sz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15240</wp:posOffset>
              </wp:positionH>
              <wp:positionV relativeFrom="paragraph">
                <wp:posOffset>405765</wp:posOffset>
              </wp:positionV>
              <wp:extent cx="5905500" cy="0"/>
              <wp:effectExtent l="0" t="0" r="19050" b="19050"/>
              <wp:wrapNone/>
              <wp:docPr id="6" name="直接连接符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05500" cy="0"/>
                      </a:xfrm>
                      <a:prstGeom prst="line">
                        <a:avLst/>
                      </a:prstGeom>
                      <a:noFill/>
                      <a:ln w="9525" cmpd="sng">
                        <a:solidFill>
                          <a:schemeClr val="tx1"/>
                        </a:solidFill>
                        <a:round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直接连接符 26" o:spid="_x0000_s1026" o:spt="20" style="position:absolute;left:0pt;margin-left:1.2pt;margin-top:31.95pt;height:0pt;width:465pt;mso-position-horizontal-relative:margin;z-index:251659264;mso-width-relative:page;mso-height-relative:page;" filled="f" stroked="t" coordsize="21600,21600" o:gfxdata="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Fk7n+9MA&#10;AAAHAQAADwAAAAAAAAABACAAAAAiAAAAZHJzL2Rvd25yZXYueG1sUEsBAhQAFAAAAAgAh07iQPsp&#10;M7vrAQAAtgMAAA4AAAAAAAAAAQAgAAAAIgEAAGRycy9lMm9Eb2MueG1sUEsFBgAAAAAGAAYAWQEA&#10;AH8FAAAAAA==&#10;">
              <v:fill on="f" focussize="0,0"/>
              <v:stroke color="#000000 [3213]" joinstyle="round"/>
              <v:imagedata o:title=""/>
              <o:lock v:ext="edit" aspectratio="f"/>
            </v:line>
          </w:pict>
        </mc:Fallback>
      </mc:AlternateContent>
    </w:r>
    <w:r>
      <w:rPr>
        <w:color w:val="241AF2"/>
        <w:sz w:val="16"/>
      </w:rPr>
      <w:drawing>
        <wp:inline distT="0" distB="0" distL="0" distR="0">
          <wp:extent cx="1382395" cy="36322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82400" cy="36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</w:t>
    </w:r>
    <w:r>
      <w:rPr>
        <w:b w:val="0"/>
      </w:rPr>
      <w:t xml:space="preserve">            </w:t>
    </w:r>
    <w:r>
      <w:rPr>
        <w:rFonts w:hint="eastAsia"/>
      </w:rPr>
      <w:t>GP2</w:t>
    </w:r>
    <w:r>
      <w:t>1</w:t>
    </w:r>
    <w:r>
      <w:rPr>
        <w:rFonts w:hint="eastAsia"/>
      </w:rPr>
      <w:t>-</w:t>
    </w:r>
    <w:r>
      <w:rPr>
        <w:rFonts w:hint="eastAsia"/>
        <w:lang w:val="en-US" w:eastAsia="zh-CN"/>
      </w:rPr>
      <w:t>6</w:t>
    </w:r>
    <w:r>
      <w:rPr>
        <w:rFonts w:hint="eastAsia"/>
      </w:rPr>
      <w:t>0风力发电系统规格书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20"/>
    <w:multiLevelType w:val="multilevel"/>
    <w:tmpl w:val="00000020"/>
    <w:lvl w:ilvl="0" w:tentative="0">
      <w:start w:val="1"/>
      <w:numFmt w:val="decimal"/>
      <w:lvlText w:val="1.%1"/>
      <w:lvlJc w:val="left"/>
      <w:pPr>
        <w:ind w:left="420" w:hanging="420"/>
      </w:pPr>
      <w:rPr>
        <w:rFonts w:hint="eastAsia"/>
      </w:rPr>
    </w:lvl>
    <w:lvl w:ilvl="1" w:tentative="0">
      <w:start w:val="1"/>
      <w:numFmt w:val="decimal"/>
      <w:pStyle w:val="39"/>
      <w:lvlText w:val="%2）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3D2A30"/>
    <w:multiLevelType w:val="multilevel"/>
    <w:tmpl w:val="093D2A30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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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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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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D8E7F63"/>
    <w:multiLevelType w:val="multilevel"/>
    <w:tmpl w:val="1D8E7F63"/>
    <w:lvl w:ilvl="0" w:tentative="0">
      <w:start w:val="1"/>
      <w:numFmt w:val="decimal"/>
      <w:pStyle w:val="2"/>
      <w:lvlText w:val="%1.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4"/>
      <w:lvlText w:val="%1.%2"/>
      <w:lvlJc w:val="left"/>
      <w:pPr>
        <w:ind w:left="680" w:hanging="453"/>
      </w:pPr>
      <w:rPr>
        <w:rFonts w:hint="eastAsia"/>
      </w:rPr>
    </w:lvl>
    <w:lvl w:ilvl="2" w:tentative="0">
      <w:start w:val="1"/>
      <w:numFmt w:val="decimal"/>
      <w:pStyle w:val="5"/>
      <w:lvlText w:val="%1.%2.%3"/>
      <w:lvlJc w:val="left"/>
      <w:pPr>
        <w:ind w:left="680" w:hanging="340"/>
      </w:pPr>
      <w:rPr>
        <w:rFonts w:hint="default" w:eastAsia="宋体" w:asciiTheme="minorHAnsi" w:hAnsiTheme="minorHAnsi"/>
        <w:b/>
        <w:i w:val="0"/>
        <w:sz w:val="21"/>
      </w:rPr>
    </w:lvl>
    <w:lvl w:ilvl="3" w:tentative="0">
      <w:start w:val="1"/>
      <w:numFmt w:val="decimal"/>
      <w:pStyle w:val="6"/>
      <w:lvlText w:val="%1.%2.%3.%4"/>
      <w:lvlJc w:val="left"/>
      <w:pPr>
        <w:ind w:left="794" w:hanging="340"/>
      </w:pPr>
      <w:rPr>
        <w:rFonts w:hint="default" w:eastAsia="宋体" w:asciiTheme="minorHAnsi" w:hAnsiTheme="minorHAnsi"/>
        <w:b w:val="0"/>
        <w:i w:val="0"/>
        <w:sz w:val="21"/>
      </w:rPr>
    </w:lvl>
    <w:lvl w:ilvl="4" w:tentative="0">
      <w:start w:val="1"/>
      <w:numFmt w:val="decimal"/>
      <w:pStyle w:val="7"/>
      <w:lvlText w:val="%1.%2.%3.%4.%5"/>
      <w:lvlJc w:val="left"/>
      <w:pPr>
        <w:ind w:left="794" w:hanging="340"/>
      </w:pPr>
      <w:rPr>
        <w:rFonts w:hint="default" w:eastAsia="宋体" w:asciiTheme="minorHAnsi" w:hAnsiTheme="minorHAnsi"/>
        <w:b w:val="0"/>
        <w:i w:val="0"/>
        <w:sz w:val="21"/>
      </w:rPr>
    </w:lvl>
    <w:lvl w:ilvl="5" w:tentative="0">
      <w:start w:val="1"/>
      <w:numFmt w:val="decimal"/>
      <w:pStyle w:val="8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9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3">
    <w:nsid w:val="225721D7"/>
    <w:multiLevelType w:val="multilevel"/>
    <w:tmpl w:val="225721D7"/>
    <w:lvl w:ilvl="0" w:tentative="0">
      <w:start w:val="1"/>
      <w:numFmt w:val="bullet"/>
      <w:lvlText w:val=""/>
      <w:lvlJc w:val="left"/>
      <w:pPr>
        <w:ind w:left="942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36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78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20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62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04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46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8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02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BB5D8C"/>
    <w:rsid w:val="0001324B"/>
    <w:rsid w:val="00041D52"/>
    <w:rsid w:val="00083F76"/>
    <w:rsid w:val="0008471B"/>
    <w:rsid w:val="0008666B"/>
    <w:rsid w:val="000A3E2E"/>
    <w:rsid w:val="000B79AA"/>
    <w:rsid w:val="000F45B3"/>
    <w:rsid w:val="0010780B"/>
    <w:rsid w:val="00113C45"/>
    <w:rsid w:val="001451DB"/>
    <w:rsid w:val="0015314F"/>
    <w:rsid w:val="00153DBD"/>
    <w:rsid w:val="001925C7"/>
    <w:rsid w:val="001A2AF3"/>
    <w:rsid w:val="002224DD"/>
    <w:rsid w:val="002A1A2C"/>
    <w:rsid w:val="002D7BF9"/>
    <w:rsid w:val="002F5D7C"/>
    <w:rsid w:val="00320F1B"/>
    <w:rsid w:val="00373131"/>
    <w:rsid w:val="003A57AF"/>
    <w:rsid w:val="003D42AC"/>
    <w:rsid w:val="003F696E"/>
    <w:rsid w:val="004213AD"/>
    <w:rsid w:val="00421473"/>
    <w:rsid w:val="004422D3"/>
    <w:rsid w:val="00444915"/>
    <w:rsid w:val="004545DE"/>
    <w:rsid w:val="00486F1B"/>
    <w:rsid w:val="00492F5C"/>
    <w:rsid w:val="004A2ACA"/>
    <w:rsid w:val="004E671F"/>
    <w:rsid w:val="00570772"/>
    <w:rsid w:val="005D5DD3"/>
    <w:rsid w:val="005E42F0"/>
    <w:rsid w:val="006148F3"/>
    <w:rsid w:val="00631711"/>
    <w:rsid w:val="00635FAA"/>
    <w:rsid w:val="00652218"/>
    <w:rsid w:val="006968CE"/>
    <w:rsid w:val="006A2A23"/>
    <w:rsid w:val="006F5DFA"/>
    <w:rsid w:val="007476D1"/>
    <w:rsid w:val="0076546D"/>
    <w:rsid w:val="00785F43"/>
    <w:rsid w:val="007E1AAD"/>
    <w:rsid w:val="00840FD0"/>
    <w:rsid w:val="00877FC8"/>
    <w:rsid w:val="008A0502"/>
    <w:rsid w:val="008C0021"/>
    <w:rsid w:val="008F26AC"/>
    <w:rsid w:val="00906CA8"/>
    <w:rsid w:val="009219E2"/>
    <w:rsid w:val="00940299"/>
    <w:rsid w:val="0094315C"/>
    <w:rsid w:val="009517FB"/>
    <w:rsid w:val="00960B0D"/>
    <w:rsid w:val="0096515F"/>
    <w:rsid w:val="00A746F8"/>
    <w:rsid w:val="00A86419"/>
    <w:rsid w:val="00AA606F"/>
    <w:rsid w:val="00AC5995"/>
    <w:rsid w:val="00AC5F04"/>
    <w:rsid w:val="00AF1245"/>
    <w:rsid w:val="00B05ACF"/>
    <w:rsid w:val="00B11BF1"/>
    <w:rsid w:val="00BB5D8C"/>
    <w:rsid w:val="00BE4848"/>
    <w:rsid w:val="00C00900"/>
    <w:rsid w:val="00C05030"/>
    <w:rsid w:val="00C277F2"/>
    <w:rsid w:val="00C72E98"/>
    <w:rsid w:val="00C9079F"/>
    <w:rsid w:val="00CC78B0"/>
    <w:rsid w:val="00D02443"/>
    <w:rsid w:val="00D135B1"/>
    <w:rsid w:val="00D223C6"/>
    <w:rsid w:val="00D40C5A"/>
    <w:rsid w:val="00D57D27"/>
    <w:rsid w:val="00D91A00"/>
    <w:rsid w:val="00DB45FA"/>
    <w:rsid w:val="00DC2387"/>
    <w:rsid w:val="00DE2A89"/>
    <w:rsid w:val="00E20990"/>
    <w:rsid w:val="00E33865"/>
    <w:rsid w:val="00E479DD"/>
    <w:rsid w:val="00E92D7F"/>
    <w:rsid w:val="00E92FA9"/>
    <w:rsid w:val="00EC5B8D"/>
    <w:rsid w:val="00F22884"/>
    <w:rsid w:val="00F27E4E"/>
    <w:rsid w:val="00F517BB"/>
    <w:rsid w:val="00FE7024"/>
    <w:rsid w:val="13DA7BD6"/>
    <w:rsid w:val="21B2030A"/>
    <w:rsid w:val="229707BA"/>
    <w:rsid w:val="232D2C7C"/>
    <w:rsid w:val="3E990B10"/>
    <w:rsid w:val="59551437"/>
    <w:rsid w:val="61EA5D55"/>
    <w:rsid w:val="659D791A"/>
    <w:rsid w:val="65A46A89"/>
    <w:rsid w:val="728314B8"/>
    <w:rsid w:val="72CF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unhideWhenUsed="0" w:uiPriority="22" w:semiHidden="0" w:name="Strong"/>
    <w:lsdException w:unhideWhenUsed="0" w:uiPriority="20" w:semiHidden="0" w:name="Emphasis"/>
    <w:lsdException w:qFormat="1" w:unhideWhenUsed="0" w:uiPriority="0" w:semiHidden="0" w:name="Document Map"/>
    <w:lsdException w:uiPriority="99" w:name="Plain Text"/>
    <w:lsdException w:qFormat="1" w:unhideWhenUsed="0" w:uiPriority="0" w:semiHidden="0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paragraph" w:styleId="2">
    <w:name w:val="heading 1"/>
    <w:basedOn w:val="3"/>
    <w:next w:val="1"/>
    <w:link w:val="24"/>
    <w:qFormat/>
    <w:uiPriority w:val="0"/>
    <w:pPr>
      <w:widowControl/>
      <w:numPr>
        <w:ilvl w:val="0"/>
        <w:numId w:val="1"/>
      </w:numPr>
      <w:spacing w:before="20" w:beforeLines="20" w:after="10" w:afterLines="10" w:line="360" w:lineRule="auto"/>
      <w:ind w:firstLineChars="0"/>
      <w:jc w:val="left"/>
      <w:outlineLvl w:val="0"/>
    </w:pPr>
    <w:rPr>
      <w:rFonts w:eastAsia="楷体" w:asciiTheme="majorHAnsi" w:hAnsiTheme="majorHAnsi"/>
      <w:b/>
      <w:sz w:val="28"/>
    </w:rPr>
  </w:style>
  <w:style w:type="paragraph" w:styleId="4">
    <w:name w:val="heading 2"/>
    <w:basedOn w:val="1"/>
    <w:next w:val="1"/>
    <w:link w:val="25"/>
    <w:unhideWhenUsed/>
    <w:qFormat/>
    <w:uiPriority w:val="0"/>
    <w:pPr>
      <w:numPr>
        <w:ilvl w:val="1"/>
        <w:numId w:val="1"/>
      </w:numPr>
      <w:tabs>
        <w:tab w:val="left" w:pos="284"/>
        <w:tab w:val="left" w:pos="426"/>
      </w:tabs>
      <w:spacing w:line="300" w:lineRule="auto"/>
      <w:ind w:right="100" w:rightChars="100"/>
      <w:textAlignment w:val="center"/>
      <w:outlineLvl w:val="1"/>
    </w:pPr>
    <w:rPr>
      <w:rFonts w:eastAsia="楷体"/>
      <w:b/>
      <w:sz w:val="24"/>
    </w:rPr>
  </w:style>
  <w:style w:type="paragraph" w:styleId="5">
    <w:name w:val="heading 3"/>
    <w:basedOn w:val="4"/>
    <w:next w:val="1"/>
    <w:link w:val="26"/>
    <w:unhideWhenUsed/>
    <w:qFormat/>
    <w:uiPriority w:val="0"/>
    <w:pPr>
      <w:numPr>
        <w:ilvl w:val="2"/>
      </w:numPr>
      <w:outlineLvl w:val="2"/>
    </w:pPr>
  </w:style>
  <w:style w:type="paragraph" w:styleId="6">
    <w:name w:val="heading 4"/>
    <w:basedOn w:val="1"/>
    <w:next w:val="1"/>
    <w:link w:val="27"/>
    <w:unhideWhenUsed/>
    <w:qFormat/>
    <w:uiPriority w:val="0"/>
    <w:pPr>
      <w:numPr>
        <w:ilvl w:val="3"/>
        <w:numId w:val="1"/>
      </w:numPr>
      <w:spacing w:line="300" w:lineRule="auto"/>
      <w:outlineLvl w:val="3"/>
    </w:pPr>
    <w:rPr>
      <w:rFonts w:eastAsiaTheme="majorEastAsia" w:cstheme="majorBidi"/>
      <w:bCs/>
    </w:rPr>
  </w:style>
  <w:style w:type="paragraph" w:styleId="7">
    <w:name w:val="heading 5"/>
    <w:basedOn w:val="1"/>
    <w:next w:val="1"/>
    <w:link w:val="28"/>
    <w:unhideWhenUsed/>
    <w:qFormat/>
    <w:uiPriority w:val="0"/>
    <w:pPr>
      <w:numPr>
        <w:ilvl w:val="4"/>
        <w:numId w:val="1"/>
      </w:numPr>
      <w:spacing w:line="300" w:lineRule="auto"/>
      <w:outlineLvl w:val="4"/>
    </w:pPr>
    <w:rPr>
      <w:bCs/>
    </w:rPr>
  </w:style>
  <w:style w:type="paragraph" w:styleId="8">
    <w:name w:val="heading 6"/>
    <w:basedOn w:val="1"/>
    <w:next w:val="1"/>
    <w:link w:val="29"/>
    <w:unhideWhenUsed/>
    <w:qFormat/>
    <w:uiPriority w:val="0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</w:rPr>
  </w:style>
  <w:style w:type="paragraph" w:styleId="9">
    <w:name w:val="heading 7"/>
    <w:basedOn w:val="1"/>
    <w:next w:val="1"/>
    <w:link w:val="30"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31"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</w:rPr>
  </w:style>
  <w:style w:type="paragraph" w:styleId="11">
    <w:name w:val="heading 9"/>
    <w:basedOn w:val="1"/>
    <w:next w:val="1"/>
    <w:link w:val="32"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列出段落1"/>
    <w:basedOn w:val="1"/>
    <w:link w:val="40"/>
    <w:qFormat/>
    <w:uiPriority w:val="1"/>
    <w:pPr>
      <w:ind w:firstLine="420" w:firstLineChars="200"/>
    </w:pPr>
    <w:rPr>
      <w:szCs w:val="22"/>
    </w:rPr>
  </w:style>
  <w:style w:type="paragraph" w:styleId="12">
    <w:name w:val="E-mail Signature"/>
    <w:basedOn w:val="1"/>
    <w:link w:val="47"/>
    <w:qFormat/>
    <w:uiPriority w:val="0"/>
    <w:rPr>
      <w:rFonts w:ascii="Calibri" w:hAnsi="Calibri" w:eastAsia="宋体" w:cs="黑体"/>
      <w:szCs w:val="24"/>
    </w:rPr>
  </w:style>
  <w:style w:type="paragraph" w:styleId="13">
    <w:name w:val="Document Map"/>
    <w:basedOn w:val="1"/>
    <w:link w:val="42"/>
    <w:qFormat/>
    <w:uiPriority w:val="0"/>
    <w:rPr>
      <w:rFonts w:ascii="Microsoft YaHei UI" w:hAnsi="Calibri" w:eastAsia="Microsoft YaHei UI" w:cs="黑体"/>
      <w:sz w:val="18"/>
      <w:szCs w:val="18"/>
    </w:rPr>
  </w:style>
  <w:style w:type="paragraph" w:styleId="14">
    <w:name w:val="toc 3"/>
    <w:basedOn w:val="1"/>
    <w:next w:val="1"/>
    <w:unhideWhenUsed/>
    <w:qFormat/>
    <w:uiPriority w:val="39"/>
    <w:pPr>
      <w:spacing w:line="276" w:lineRule="auto"/>
      <w:ind w:left="200" w:leftChars="200"/>
    </w:pPr>
  </w:style>
  <w:style w:type="paragraph" w:styleId="15">
    <w:name w:val="footer"/>
    <w:basedOn w:val="1"/>
    <w:link w:val="33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6">
    <w:name w:val="header"/>
    <w:basedOn w:val="1"/>
    <w:link w:val="34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jc w:val="right"/>
    </w:pPr>
    <w:rPr>
      <w:rFonts w:eastAsia="楷体"/>
      <w:b/>
      <w:sz w:val="24"/>
    </w:rPr>
  </w:style>
  <w:style w:type="paragraph" w:styleId="17">
    <w:name w:val="toc 1"/>
    <w:basedOn w:val="1"/>
    <w:next w:val="1"/>
    <w:qFormat/>
    <w:uiPriority w:val="39"/>
    <w:pPr>
      <w:tabs>
        <w:tab w:val="left" w:pos="420"/>
        <w:tab w:val="right" w:leader="dot" w:pos="9344"/>
      </w:tabs>
      <w:spacing w:before="60" w:after="60" w:line="276" w:lineRule="auto"/>
      <w:jc w:val="left"/>
    </w:pPr>
    <w:rPr>
      <w:rFonts w:eastAsia="楷体"/>
      <w:b/>
      <w:bCs/>
      <w:caps/>
      <w:sz w:val="24"/>
      <w:szCs w:val="20"/>
    </w:rPr>
  </w:style>
  <w:style w:type="paragraph" w:styleId="18">
    <w:name w:val="toc 2"/>
    <w:basedOn w:val="1"/>
    <w:next w:val="1"/>
    <w:unhideWhenUsed/>
    <w:qFormat/>
    <w:uiPriority w:val="39"/>
    <w:pPr>
      <w:spacing w:line="276" w:lineRule="auto"/>
      <w:ind w:left="100" w:leftChars="100"/>
    </w:pPr>
  </w:style>
  <w:style w:type="paragraph" w:styleId="19">
    <w:name w:val="Title"/>
    <w:basedOn w:val="1"/>
    <w:next w:val="1"/>
    <w:link w:val="35"/>
    <w:qFormat/>
    <w:uiPriority w:val="0"/>
    <w:pPr>
      <w:tabs>
        <w:tab w:val="left" w:pos="0"/>
      </w:tabs>
      <w:spacing w:line="336" w:lineRule="auto"/>
      <w:jc w:val="center"/>
    </w:pPr>
    <w:rPr>
      <w:rFonts w:ascii="华文楷体" w:hAnsi="华文楷体" w:eastAsia="华文楷体" w:cs="华文楷体"/>
      <w:b/>
      <w:bCs/>
      <w:sz w:val="56"/>
      <w:szCs w:val="52"/>
    </w:rPr>
  </w:style>
  <w:style w:type="table" w:styleId="21">
    <w:name w:val="Table Grid"/>
    <w:basedOn w:val="20"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Hyperlink"/>
    <w:basedOn w:val="2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4">
    <w:name w:val="标题 1 Char"/>
    <w:basedOn w:val="22"/>
    <w:link w:val="2"/>
    <w:qFormat/>
    <w:uiPriority w:val="0"/>
    <w:rPr>
      <w:rFonts w:eastAsia="楷体" w:asciiTheme="majorHAnsi" w:hAnsiTheme="majorHAnsi"/>
      <w:b/>
      <w:sz w:val="28"/>
    </w:rPr>
  </w:style>
  <w:style w:type="character" w:customStyle="1" w:styleId="25">
    <w:name w:val="标题 2 Char"/>
    <w:basedOn w:val="22"/>
    <w:link w:val="4"/>
    <w:qFormat/>
    <w:uiPriority w:val="0"/>
    <w:rPr>
      <w:rFonts w:eastAsia="楷体" w:cs="黑体"/>
      <w:b/>
      <w:sz w:val="24"/>
      <w:szCs w:val="24"/>
    </w:rPr>
  </w:style>
  <w:style w:type="character" w:customStyle="1" w:styleId="26">
    <w:name w:val="标题 3 Char"/>
    <w:basedOn w:val="22"/>
    <w:link w:val="5"/>
    <w:qFormat/>
    <w:uiPriority w:val="0"/>
    <w:rPr>
      <w:rFonts w:eastAsia="楷体" w:cs="黑体"/>
      <w:b/>
      <w:sz w:val="24"/>
      <w:szCs w:val="24"/>
    </w:rPr>
  </w:style>
  <w:style w:type="character" w:customStyle="1" w:styleId="27">
    <w:name w:val="标题 4 Char"/>
    <w:basedOn w:val="22"/>
    <w:link w:val="6"/>
    <w:qFormat/>
    <w:uiPriority w:val="0"/>
    <w:rPr>
      <w:rFonts w:eastAsiaTheme="majorEastAsia" w:cstheme="majorBidi"/>
      <w:bCs/>
      <w:szCs w:val="21"/>
    </w:rPr>
  </w:style>
  <w:style w:type="character" w:customStyle="1" w:styleId="28">
    <w:name w:val="标题 5 Char"/>
    <w:basedOn w:val="22"/>
    <w:link w:val="7"/>
    <w:qFormat/>
    <w:uiPriority w:val="0"/>
    <w:rPr>
      <w:rFonts w:eastAsia="宋体" w:cs="黑体"/>
      <w:bCs/>
      <w:szCs w:val="21"/>
    </w:rPr>
  </w:style>
  <w:style w:type="character" w:customStyle="1" w:styleId="29">
    <w:name w:val="标题 6 Char"/>
    <w:basedOn w:val="22"/>
    <w:link w:val="8"/>
    <w:qFormat/>
    <w:uiPriority w:val="0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30">
    <w:name w:val="标题 7 Char"/>
    <w:basedOn w:val="22"/>
    <w:link w:val="9"/>
    <w:semiHidden/>
    <w:qFormat/>
    <w:uiPriority w:val="0"/>
    <w:rPr>
      <w:rFonts w:ascii="Calibri" w:hAnsi="Calibri" w:eastAsia="宋体" w:cs="黑体"/>
      <w:b/>
      <w:bCs/>
      <w:sz w:val="24"/>
      <w:szCs w:val="24"/>
    </w:rPr>
  </w:style>
  <w:style w:type="character" w:customStyle="1" w:styleId="31">
    <w:name w:val="标题 8 Char"/>
    <w:basedOn w:val="22"/>
    <w:link w:val="10"/>
    <w:semiHidden/>
    <w:qFormat/>
    <w:uiPriority w:val="0"/>
    <w:rPr>
      <w:rFonts w:asciiTheme="majorHAnsi" w:hAnsiTheme="majorHAnsi" w:eastAsiaTheme="majorEastAsia" w:cstheme="majorBidi"/>
      <w:sz w:val="24"/>
      <w:szCs w:val="24"/>
    </w:rPr>
  </w:style>
  <w:style w:type="character" w:customStyle="1" w:styleId="32">
    <w:name w:val="标题 9 Char"/>
    <w:basedOn w:val="22"/>
    <w:link w:val="11"/>
    <w:semiHidden/>
    <w:qFormat/>
    <w:uiPriority w:val="0"/>
    <w:rPr>
      <w:rFonts w:asciiTheme="majorHAnsi" w:hAnsiTheme="majorHAnsi" w:eastAsiaTheme="majorEastAsia" w:cstheme="majorBidi"/>
      <w:szCs w:val="21"/>
    </w:rPr>
  </w:style>
  <w:style w:type="character" w:customStyle="1" w:styleId="33">
    <w:name w:val="页脚 Char"/>
    <w:basedOn w:val="22"/>
    <w:link w:val="15"/>
    <w:qFormat/>
    <w:uiPriority w:val="99"/>
    <w:rPr>
      <w:rFonts w:ascii="Calibri" w:hAnsi="Calibri" w:eastAsia="宋体" w:cs="黑体"/>
      <w:sz w:val="18"/>
      <w:szCs w:val="24"/>
    </w:rPr>
  </w:style>
  <w:style w:type="character" w:customStyle="1" w:styleId="34">
    <w:name w:val="页眉 Char"/>
    <w:basedOn w:val="22"/>
    <w:link w:val="16"/>
    <w:qFormat/>
    <w:uiPriority w:val="0"/>
    <w:rPr>
      <w:rFonts w:ascii="Calibri" w:hAnsi="Calibri" w:eastAsia="楷体" w:cs="黑体"/>
      <w:b/>
      <w:sz w:val="24"/>
      <w:szCs w:val="24"/>
    </w:rPr>
  </w:style>
  <w:style w:type="character" w:customStyle="1" w:styleId="35">
    <w:name w:val="标题 Char"/>
    <w:basedOn w:val="22"/>
    <w:link w:val="19"/>
    <w:qFormat/>
    <w:uiPriority w:val="0"/>
    <w:rPr>
      <w:rFonts w:ascii="华文楷体" w:hAnsi="华文楷体" w:eastAsia="华文楷体" w:cs="华文楷体"/>
      <w:b/>
      <w:bCs/>
      <w:sz w:val="56"/>
      <w:szCs w:val="52"/>
    </w:rPr>
  </w:style>
  <w:style w:type="paragraph" w:customStyle="1" w:styleId="36">
    <w:name w:val="B正文1级"/>
    <w:basedOn w:val="1"/>
    <w:link w:val="37"/>
    <w:qFormat/>
    <w:uiPriority w:val="0"/>
    <w:pPr>
      <w:spacing w:line="300" w:lineRule="auto"/>
      <w:ind w:left="227" w:firstLine="420"/>
    </w:pPr>
  </w:style>
  <w:style w:type="character" w:customStyle="1" w:styleId="37">
    <w:name w:val="B正文1级 Char"/>
    <w:basedOn w:val="22"/>
    <w:link w:val="36"/>
    <w:qFormat/>
    <w:uiPriority w:val="0"/>
    <w:rPr>
      <w:rFonts w:eastAsia="宋体" w:cs="黑体"/>
      <w:szCs w:val="24"/>
    </w:rPr>
  </w:style>
  <w:style w:type="character" w:customStyle="1" w:styleId="38">
    <w:name w:val="不明显强调1"/>
    <w:basedOn w:val="22"/>
    <w:qFormat/>
    <w:uiPriority w:val="1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customStyle="1" w:styleId="39">
    <w:name w:val="B段落1)样式"/>
    <w:basedOn w:val="3"/>
    <w:link w:val="41"/>
    <w:qFormat/>
    <w:uiPriority w:val="0"/>
    <w:pPr>
      <w:numPr>
        <w:ilvl w:val="1"/>
        <w:numId w:val="2"/>
      </w:numPr>
      <w:spacing w:line="300" w:lineRule="auto"/>
      <w:ind w:firstLine="0" w:firstLineChars="0"/>
    </w:pPr>
  </w:style>
  <w:style w:type="character" w:customStyle="1" w:styleId="40">
    <w:name w:val="列出段落1 Char"/>
    <w:basedOn w:val="22"/>
    <w:link w:val="3"/>
    <w:qFormat/>
    <w:uiPriority w:val="99"/>
  </w:style>
  <w:style w:type="character" w:customStyle="1" w:styleId="41">
    <w:name w:val="B段落1)样式 Char"/>
    <w:basedOn w:val="40"/>
    <w:link w:val="39"/>
    <w:qFormat/>
    <w:uiPriority w:val="0"/>
  </w:style>
  <w:style w:type="character" w:customStyle="1" w:styleId="42">
    <w:name w:val="文档结构图 Char"/>
    <w:basedOn w:val="22"/>
    <w:link w:val="13"/>
    <w:qFormat/>
    <w:uiPriority w:val="0"/>
    <w:rPr>
      <w:rFonts w:ascii="Microsoft YaHei UI" w:hAnsi="Calibri" w:eastAsia="Microsoft YaHei UI" w:cs="黑体"/>
      <w:sz w:val="18"/>
      <w:szCs w:val="18"/>
    </w:rPr>
  </w:style>
  <w:style w:type="character" w:customStyle="1" w:styleId="43">
    <w:name w:val="明显参考1"/>
    <w:basedOn w:val="22"/>
    <w:qFormat/>
    <w:uiPriority w:val="32"/>
    <w:rPr>
      <w:b/>
      <w:bCs/>
      <w:smallCaps/>
      <w:color w:val="5B9BD5" w:themeColor="accent1"/>
      <w:spacing w:val="5"/>
      <w14:textFill>
        <w14:solidFill>
          <w14:schemeClr w14:val="accent1"/>
        </w14:solidFill>
      </w14:textFill>
    </w:rPr>
  </w:style>
  <w:style w:type="paragraph" w:customStyle="1" w:styleId="44">
    <w:name w:val="正文缩进1"/>
    <w:basedOn w:val="1"/>
    <w:qFormat/>
    <w:uiPriority w:val="0"/>
    <w:pPr>
      <w:ind w:firstLine="420"/>
    </w:pPr>
    <w:rPr>
      <w:rFonts w:ascii="Times New Roman" w:hAnsi="Times New Roman" w:eastAsia="宋体" w:cs="Times New Roman"/>
      <w:szCs w:val="20"/>
    </w:rPr>
  </w:style>
  <w:style w:type="paragraph" w:customStyle="1" w:styleId="45">
    <w:name w:val="Table Paragraph"/>
    <w:basedOn w:val="1"/>
    <w:qFormat/>
    <w:uiPriority w:val="1"/>
    <w:pPr>
      <w:jc w:val="left"/>
    </w:pPr>
    <w:rPr>
      <w:rFonts w:ascii="Calibri" w:hAnsi="Calibri" w:eastAsia="MS Mincho" w:cs="Times New Roman"/>
      <w:kern w:val="0"/>
      <w:sz w:val="22"/>
      <w:szCs w:val="22"/>
      <w:lang w:eastAsia="en-US"/>
    </w:rPr>
  </w:style>
  <w:style w:type="character" w:customStyle="1" w:styleId="46">
    <w:name w:val="fontstyle01"/>
    <w:basedOn w:val="22"/>
    <w:qFormat/>
    <w:uiPriority w:val="0"/>
    <w:rPr>
      <w:rFonts w:hint="default" w:ascii="MSPGothic" w:hAnsi="MSPGothic"/>
      <w:color w:val="000000"/>
      <w:sz w:val="36"/>
      <w:szCs w:val="36"/>
    </w:rPr>
  </w:style>
  <w:style w:type="character" w:customStyle="1" w:styleId="47">
    <w:name w:val="电子邮件签名 Char"/>
    <w:basedOn w:val="22"/>
    <w:link w:val="12"/>
    <w:qFormat/>
    <w:uiPriority w:val="0"/>
    <w:rPr>
      <w:rFonts w:ascii="Calibri" w:hAnsi="Calibri" w:eastAsia="宋体" w:cs="黑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package" Target="embeddings/Microsoft_Visio___1.vsdx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chart" Target="charts/chart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liujinpeng\2.0%20&#25216;&#26415;&#36164;&#26009;\FD25\_FD&#31995;&#21015;&#26426;&#32452;(&#35748;&#35777;)&#21151;&#29575;&#26354;&#32447;&#21450;&#21457;&#30005;&#37327;&#27719;&#24635;&#21450;&#27169;&#26495;V1.02_2020050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0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defRPr lang="zh-CN" sz="1800" b="1" i="0" u="none" strike="noStrike" kern="1200" baseline="0">
                <a:solidFill>
                  <a:sysClr val="windowText" lastClr="000000"/>
                </a:solidFill>
                <a:latin typeface="MS PGothic (标题)"/>
                <a:ea typeface="楷体" panose="02010609060101010101" pitchFamily="3" charset="-122"/>
                <a:cs typeface="+mn-cs"/>
              </a:defRPr>
            </a:pPr>
            <a:r>
              <a:rPr lang="en-US" altLang="zh-CN" sz="1800">
                <a:latin typeface="MS PGothic (标题)"/>
                <a:ea typeface="楷体" panose="02010609060101010101" pitchFamily="3" charset="-122"/>
              </a:rPr>
              <a:t>GP21-60 </a:t>
            </a:r>
            <a:r>
              <a:rPr lang="ja-JP" altLang="zh-CN" sz="1800">
                <a:effectLst/>
                <a:latin typeface="MS PGothic (标题)"/>
              </a:rPr>
              <a:t>年</a:t>
            </a:r>
            <a:r>
              <a:rPr lang="zh-CN" altLang="en-US" sz="1800">
                <a:effectLst/>
                <a:latin typeface="MS PGothic (标题)"/>
              </a:rPr>
              <a:t>总发电量</a:t>
            </a:r>
            <a:endParaRPr lang="zh-CN" altLang="en-US" sz="1800">
              <a:latin typeface="MS PGothic (标题)"/>
              <a:ea typeface="楷体" panose="02010609060101010101" pitchFamily="3" charset="-122"/>
            </a:endParaRPr>
          </a:p>
        </c:rich>
      </c:tx>
      <c:layout>
        <c:manualLayout>
          <c:xMode val="edge"/>
          <c:yMode val="edge"/>
          <c:x val="0.351556625243025"/>
          <c:y val="0.0158567609967056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120987906784976"/>
          <c:y val="0.138928687590046"/>
          <c:w val="0.817354118448419"/>
          <c:h val="0.707970011486247"/>
        </c:manualLayout>
      </c:layout>
      <c:scatterChart>
        <c:scatterStyle val="smooth"/>
        <c:varyColors val="0"/>
        <c:ser>
          <c:idx val="7"/>
          <c:order val="1"/>
          <c:tx>
            <c:strRef>
              <c:f>'[_FD系列机组(认证)功率曲线及发电量汇总及模板V1.02_20200508.xlsx]FD21'!$I$3:$I$4</c:f>
              <c:strCache>
                <c:ptCount val="1"/>
                <c:pt idx="0">
                  <c:v>FD21-60 (MWh)</c:v>
                </c:pt>
              </c:strCache>
            </c:strRef>
          </c:tx>
          <c:spPr>
            <a:ln w="15875" cap="rnd" cmpd="sng" algn="ctr">
              <a:solidFill>
                <a:srgbClr val="FF00FF"/>
              </a:solidFill>
              <a:prstDash val="solid"/>
              <a:round/>
            </a:ln>
          </c:spPr>
          <c:marker>
            <c:symbol val="none"/>
          </c:marker>
          <c:dLbls>
            <c:delete val="1"/>
          </c:dLbls>
          <c:xVal>
            <c:numRef>
              <c:f>{4,4.5,5,5.5,6,6.5,7,7.5,8}</c:f>
              <c:numCache>
                <c:formatCode>General</c:formatCode>
                <c:ptCount val="9"/>
                <c:pt idx="0">
                  <c:v>4</c:v>
                </c:pt>
                <c:pt idx="1">
                  <c:v>4.5</c:v>
                </c:pt>
                <c:pt idx="2">
                  <c:v>5</c:v>
                </c:pt>
                <c:pt idx="3">
                  <c:v>5.5</c:v>
                </c:pt>
                <c:pt idx="4">
                  <c:v>6</c:v>
                </c:pt>
                <c:pt idx="5">
                  <c:v>6.5</c:v>
                </c:pt>
                <c:pt idx="6">
                  <c:v>7</c:v>
                </c:pt>
                <c:pt idx="7">
                  <c:v>7.5</c:v>
                </c:pt>
                <c:pt idx="8">
                  <c:v>8</c:v>
                </c:pt>
              </c:numCache>
            </c:numRef>
          </c:xVal>
          <c:yVal>
            <c:numRef>
              <c:f>{69.99507818,97.03067211,125.5608646,154.0744632,181.209127,205.8542285,227.2246175,244.8836763,258.7113794}</c:f>
              <c:numCache>
                <c:formatCode>General</c:formatCode>
                <c:ptCount val="9"/>
                <c:pt idx="0">
                  <c:v>69.9950781817417</c:v>
                </c:pt>
                <c:pt idx="1">
                  <c:v>97.0306721120108</c:v>
                </c:pt>
                <c:pt idx="2">
                  <c:v>125.560864581735</c:v>
                </c:pt>
                <c:pt idx="3">
                  <c:v>154.074463240305</c:v>
                </c:pt>
                <c:pt idx="4">
                  <c:v>181.20912704284</c:v>
                </c:pt>
                <c:pt idx="5">
                  <c:v>205.854228485544</c:v>
                </c:pt>
                <c:pt idx="6">
                  <c:v>227.224617504742</c:v>
                </c:pt>
                <c:pt idx="7">
                  <c:v>244.883676345741</c:v>
                </c:pt>
                <c:pt idx="8">
                  <c:v>258.711379437194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7645776"/>
        <c:axId val="1537646336"/>
        <c:extLst>
          <c:ext xmlns:c15="http://schemas.microsoft.com/office/drawing/2012/chart" uri="{02D57815-91ED-43cb-92C2-25804820EDAC}">
            <c15:filteredScatterSeries>
              <c15:ser>
                <c:idx val="3"/>
                <c:order val="0"/>
                <c:tx>
                  <c:strRef>
                    <c:extLst>
                      <c:ext uri="{02D57815-91ED-43cb-92C2-25804820EDAC}">
                        <c15:formulaRef>
                          <c15:sqref>'[_FD系列机组(认证)功率曲线及发电量汇总及模板V1.02_20200508.xlsx]FD21'!$H$3:$H$4</c15:sqref>
                        </c15:formulaRef>
                      </c:ext>
                    </c:extLst>
                    <c:strCache>
                      <c:ptCount val="1"/>
                      <c:pt idx="0">
                        <c:v>FD21-100 (MWh)</c:v>
                      </c:pt>
                    </c:strCache>
                  </c:strRef>
                </c:tx>
                <c:spPr>
                  <a:ln w="19050" cap="rnd" cmpd="sng" algn="ctr">
                    <a:solidFill>
                      <a:srgbClr val="0000FF"/>
                    </a:solidFill>
                    <a:prstDash val="solid"/>
                    <a:round/>
                  </a:ln>
                </c:spPr>
                <c:marker>
                  <c:symbol val="diamond"/>
                  <c:size val="6"/>
                </c:marker>
                <c:dLbls>
                  <c:delete val="1"/>
                </c:dLbls>
                <c:xVal>
                  <c:numRef>
                    <c:numCache>
                      <c:formatCode>0.0</c:formatCode>
                      <c:ptCount val="9"/>
                      <c:pt idx="0">
                        <c:v>4</c:v>
                      </c:pt>
                      <c:pt idx="1">
                        <c:v>4.5</c:v>
                      </c:pt>
                      <c:pt idx="2">
                        <c:v>5</c:v>
                      </c:pt>
                      <c:pt idx="3">
                        <c:v>5.5</c:v>
                      </c:pt>
                      <c:pt idx="4">
                        <c:v>6</c:v>
                      </c:pt>
                      <c:pt idx="5">
                        <c:v>6.5</c:v>
                      </c:pt>
                      <c:pt idx="6">
                        <c:v>7</c:v>
                      </c:pt>
                      <c:pt idx="7">
                        <c:v>7.5</c:v>
                      </c:pt>
                      <c:pt idx="8">
                        <c:v>8</c:v>
                      </c:pt>
                    </c:numCache>
                  </c:numRef>
                </c:xVal>
                <c:yVal>
                  <c:numRef>
                    <c:numCache>
                      <c:formatCode>0.0</c:formatCode>
                      <c:ptCount val="9"/>
                      <c:pt idx="0">
                        <c:v>74.796033049731</c:v>
                      </c:pt>
                      <c:pt idx="1">
                        <c:v>105.76289007034</c:v>
                      </c:pt>
                      <c:pt idx="2">
                        <c:v>140.587486018812</c:v>
                      </c:pt>
                      <c:pt idx="3">
                        <c:v>177.718738514353</c:v>
                      </c:pt>
                      <c:pt idx="4">
                        <c:v>215.379461615862</c:v>
                      </c:pt>
                      <c:pt idx="5">
                        <c:v>251.780814149077</c:v>
                      </c:pt>
                      <c:pt idx="6">
                        <c:v>285.362628133968</c:v>
                      </c:pt>
                      <c:pt idx="7">
                        <c:v>314.967224017894</c:v>
                      </c:pt>
                      <c:pt idx="8">
                        <c:v>339.902016885064</c:v>
                      </c:pt>
                    </c:numCache>
                  </c:numRef>
                </c:yVal>
                <c:smooth val="1"/>
              </c15:ser>
            </c15:filteredScatterSeries>
            <c15:filteredScatterSeries>
              <c15:ser>
                <c:idx val="2"/>
                <c:order val="2"/>
                <c:tx>
                  <c:strRef>
                    <c:extLst>
                      <c:ext uri="{02D57815-91ED-43cb-92C2-25804820EDAC}">
                        <c15:formulaRef>
                          <c15:sqref>'[_FD系列机组(认证)功率曲线及发电量汇总及模板V1.02_20200508.xlsx]FD21'!$J$3:$J$4</c15:sqref>
                        </c15:formulaRef>
                      </c:ext>
                    </c:extLst>
                    <c:strCache>
                      <c:ptCount val="1"/>
                      <c:pt idx="0">
                        <c:v>FD21-49 (MWh)</c:v>
                      </c:pt>
                    </c:strCache>
                  </c:strRef>
                </c:tx>
                <c:spPr>
                  <a:ln w="15875" cap="rnd" cmpd="sng" algn="ctr">
                    <a:solidFill>
                      <a:schemeClr val="tx1"/>
                    </a:solidFill>
                    <a:prstDash val="sysDash"/>
                    <a:round/>
                  </a:ln>
                </c:spPr>
                <c:marker>
                  <c:symbol val="none"/>
                </c:marker>
                <c:dLbls>
                  <c:delete val="1"/>
                </c:dLbls>
                <c:xVal>
                  <c:numRef>
                    <c:numCache>
                      <c:formatCode>General</c:formatCode>
                      <c:ptCount val="9"/>
                      <c:pt idx="0">
                        <c:v>4</c:v>
                      </c:pt>
                      <c:pt idx="1">
                        <c:v>4.5</c:v>
                      </c:pt>
                      <c:pt idx="2">
                        <c:v>5</c:v>
                      </c:pt>
                      <c:pt idx="3">
                        <c:v>5.5</c:v>
                      </c:pt>
                      <c:pt idx="4">
                        <c:v>6</c:v>
                      </c:pt>
                      <c:pt idx="5">
                        <c:v>6.5</c:v>
                      </c:pt>
                      <c:pt idx="6">
                        <c:v>7</c:v>
                      </c:pt>
                      <c:pt idx="7">
                        <c:v>7.5</c:v>
                      </c:pt>
                      <c:pt idx="8">
                        <c:v>8</c:v>
                      </c:pt>
                    </c:numCache>
                  </c:numRef>
                </c:xVal>
                <c:yVal>
                  <c:numRef>
                    <c:numCache>
                      <c:formatCode>General</c:formatCode>
                      <c:ptCount val="9"/>
                      <c:pt idx="0">
                        <c:v>67.945873764918</c:v>
                      </c:pt>
                      <c:pt idx="1">
                        <c:v>92.9244638932137</c:v>
                      </c:pt>
                      <c:pt idx="2">
                        <c:v>118.42141677393</c:v>
                      </c:pt>
                      <c:pt idx="3">
                        <c:v>142.969176010071</c:v>
                      </c:pt>
                      <c:pt idx="4">
                        <c:v>165.36631262204</c:v>
                      </c:pt>
                      <c:pt idx="5">
                        <c:v>184.757869197469</c:v>
                      </c:pt>
                      <c:pt idx="6">
                        <c:v>200.664813729722</c:v>
                      </c:pt>
                      <c:pt idx="7">
                        <c:v>212.951573790798</c:v>
                      </c:pt>
                      <c:pt idx="8">
                        <c:v>221.749781474057</c:v>
                      </c:pt>
                    </c:numCache>
                  </c:numRef>
                </c:yVal>
                <c:smooth val="1"/>
              </c15:ser>
            </c15:filteredScatterSeries>
          </c:ext>
        </c:extLst>
      </c:scatterChart>
      <c:valAx>
        <c:axId val="1537645776"/>
        <c:scaling>
          <c:orientation val="minMax"/>
          <c:max val="8"/>
          <c:min val="4"/>
        </c:scaling>
        <c:delete val="0"/>
        <c:axPos val="b"/>
        <c:majorGridlines>
          <c:spPr>
            <a:ln w="6350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</c:spPr>
        </c:majorGridlines>
        <c:minorGridlines>
          <c:spPr>
            <a:ln w="3175" cap="flat" cmpd="sng" algn="ctr">
              <a:solidFill>
                <a:schemeClr val="bg1">
                  <a:lumMod val="95000"/>
                </a:schemeClr>
              </a:solidFill>
              <a:prstDash val="solid"/>
              <a:round/>
            </a:ln>
          </c:spPr>
        </c:minorGridlines>
        <c:title>
          <c:tx>
            <c:rich>
              <a:bodyPr rot="0" spcFirstLastPara="0" vertOverflow="ellipsis" vert="horz" wrap="square" anchor="ctr" anchorCtr="1"/>
              <a:lstStyle/>
              <a:p>
                <a:pPr>
                  <a:defRPr lang="zh-CN" sz="1200" b="1" i="0" u="none" strike="noStrike" kern="1200" baseline="0">
                    <a:solidFill>
                      <a:schemeClr val="tx1"/>
                    </a:solidFill>
                    <a:latin typeface="MS PGothic (标题)"/>
                    <a:ea typeface="+mj-ea"/>
                    <a:cs typeface="+mn-cs"/>
                  </a:defRPr>
                </a:pPr>
                <a:r>
                  <a:rPr lang="ja-JP" altLang="zh-CN" sz="1200" b="1" i="0" u="none" strike="noStrike" baseline="0">
                    <a:effectLst/>
                    <a:latin typeface="楷体" panose="02010609060101010101" pitchFamily="3" charset="-122"/>
                    <a:ea typeface="楷体" panose="02010609060101010101" pitchFamily="3" charset="-122"/>
                  </a:rPr>
                  <a:t>年平均</a:t>
                </a:r>
                <a:r>
                  <a:rPr lang="zh-CN" altLang="en-US" sz="1200" b="1" i="0" u="none" strike="noStrike" baseline="0">
                    <a:effectLst/>
                    <a:latin typeface="楷体" panose="02010609060101010101" pitchFamily="3" charset="-122"/>
                    <a:ea typeface="楷体" panose="02010609060101010101" pitchFamily="3" charset="-122"/>
                  </a:rPr>
                  <a:t>风速</a:t>
                </a:r>
                <a:r>
                  <a:rPr lang="en-US" altLang="ja-JP" sz="1200" b="1" i="0" u="none" strike="noStrike" baseline="0">
                    <a:effectLst/>
                    <a:latin typeface="+mn-lt"/>
                    <a:ea typeface="楷体" panose="02010609060101010101" pitchFamily="3" charset="-122"/>
                  </a:rPr>
                  <a:t>(</a:t>
                </a:r>
                <a:r>
                  <a:rPr lang="en-US" altLang="zh-CN" sz="1200" b="1" i="0" u="none" strike="noStrike" baseline="0">
                    <a:effectLst/>
                    <a:latin typeface="+mn-lt"/>
                    <a:ea typeface="楷体" panose="02010609060101010101" pitchFamily="3" charset="-122"/>
                  </a:rPr>
                  <a:t>m/s</a:t>
                </a:r>
                <a:r>
                  <a:rPr lang="en-US" altLang="zh-CN" sz="1200">
                    <a:latin typeface="+mn-lt"/>
                    <a:ea typeface="楷体" panose="02010609060101010101" pitchFamily="3" charset="-122"/>
                  </a:rPr>
                  <a:t>)</a:t>
                </a:r>
                <a:endParaRPr lang="zh-CN" altLang="en-US" sz="1200">
                  <a:latin typeface="+mn-lt"/>
                  <a:ea typeface="楷体" panose="02010609060101010101" pitchFamily="3" charset="-122"/>
                </a:endParaRPr>
              </a:p>
            </c:rich>
          </c:tx>
          <c:layout>
            <c:manualLayout>
              <c:xMode val="edge"/>
              <c:yMode val="edge"/>
              <c:x val="0.443798970009429"/>
              <c:y val="0.920335983080125"/>
            </c:manualLayout>
          </c:layout>
          <c:overlay val="0"/>
        </c:title>
        <c:numFmt formatCode="0.0" sourceLinked="0"/>
        <c:majorTickMark val="out"/>
        <c:minorTickMark val="none"/>
        <c:tickLblPos val="nextTo"/>
        <c:spPr>
          <a:ln w="9525" cap="flat" cmpd="sng" algn="ctr">
            <a:solidFill>
              <a:schemeClr val="tx1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chemeClr val="tx1"/>
                </a:solidFill>
                <a:latin typeface="+mj-lt"/>
                <a:ea typeface="+mn-ea"/>
                <a:cs typeface="+mn-cs"/>
              </a:defRPr>
            </a:pPr>
          </a:p>
        </c:txPr>
        <c:crossAx val="1537646336"/>
        <c:crosses val="autoZero"/>
        <c:crossBetween val="midCat"/>
        <c:majorUnit val="1"/>
        <c:minorUnit val="0.5"/>
      </c:valAx>
      <c:valAx>
        <c:axId val="1537646336"/>
        <c:scaling>
          <c:orientation val="minMax"/>
          <c:max val="400"/>
          <c:min val="0"/>
        </c:scaling>
        <c:delete val="0"/>
        <c:axPos val="l"/>
        <c:majorGridlines>
          <c:spPr>
            <a:ln w="6350" cap="flat" cmpd="sng" algn="ctr">
              <a:solidFill>
                <a:schemeClr val="bg1">
                  <a:lumMod val="75000"/>
                </a:schemeClr>
              </a:solidFill>
              <a:prstDash val="solid"/>
              <a:round/>
            </a:ln>
          </c:spPr>
        </c:majorGridlines>
        <c:minorGridlines>
          <c:spPr>
            <a:ln w="3175" cap="flat" cmpd="sng" algn="ctr">
              <a:solidFill>
                <a:schemeClr val="bg1">
                  <a:lumMod val="95000"/>
                </a:schemeClr>
              </a:solidFill>
              <a:prstDash val="solid"/>
              <a:round/>
            </a:ln>
          </c:spPr>
        </c:minorGridlines>
        <c:title>
          <c:tx>
            <c:rich>
              <a:bodyPr rot="-5400000" spcFirstLastPara="0" vertOverflow="ellipsis" vert="horz" wrap="square" anchor="ctr" anchorCtr="1"/>
              <a:lstStyle/>
              <a:p>
                <a:pPr marL="0" marR="0" indent="0" algn="ctr" defTabSz="914400" rtl="0" eaLnBrk="1" fontAlgn="auto" latinLnBrk="0" hangingPunct="1">
                  <a:lnSpc>
                    <a:spcPct val="100000"/>
                  </a:lnSpc>
                  <a:spcBef>
                    <a:spcPts val="0"/>
                  </a:spcBef>
                  <a:spcAft>
                    <a:spcPts val="0"/>
                  </a:spcAft>
                  <a:buClrTx/>
                  <a:buSzTx/>
                  <a:buFontTx/>
                  <a:buNone/>
                  <a:defRPr lang="zh-CN" sz="1200" b="1" i="0" u="none" strike="noStrike" kern="1200" baseline="0">
                    <a:solidFill>
                      <a:sysClr val="windowText" lastClr="000000"/>
                    </a:solidFill>
                    <a:latin typeface="+mj-ea"/>
                    <a:ea typeface="+mj-ea"/>
                    <a:cs typeface="+mn-cs"/>
                  </a:defRPr>
                </a:pPr>
                <a:r>
                  <a:rPr lang="zh-CN" altLang="en-US" sz="1200" b="1" i="0" baseline="0">
                    <a:solidFill>
                      <a:sysClr val="windowText" lastClr="000000"/>
                    </a:solidFill>
                    <a:effectLst/>
                    <a:latin typeface="+mn-lt"/>
                    <a:ea typeface="楷体" panose="02010609060101010101" pitchFamily="3" charset="-122"/>
                  </a:rPr>
                  <a:t>发电量</a:t>
                </a:r>
                <a:r>
                  <a:rPr lang="en-US" altLang="zh-CN" sz="1200" b="1" i="0" baseline="0">
                    <a:solidFill>
                      <a:sysClr val="windowText" lastClr="000000"/>
                    </a:solidFill>
                    <a:effectLst/>
                    <a:latin typeface="+mn-lt"/>
                    <a:ea typeface="楷体" panose="02010609060101010101" pitchFamily="3" charset="-122"/>
                  </a:rPr>
                  <a:t>(MWh)</a:t>
                </a:r>
                <a:endParaRPr lang="zh-CN" altLang="zh-CN" sz="1200" b="1">
                  <a:solidFill>
                    <a:sysClr val="windowText" lastClr="000000"/>
                  </a:solidFill>
                  <a:effectLst/>
                  <a:latin typeface="+mn-lt"/>
                  <a:ea typeface="楷体" panose="02010609060101010101" pitchFamily="3" charset="-122"/>
                </a:endParaRPr>
              </a:p>
            </c:rich>
          </c:tx>
          <c:layout>
            <c:manualLayout>
              <c:xMode val="edge"/>
              <c:yMode val="edge"/>
              <c:x val="0.00939936298555972"/>
              <c:y val="0.334412227852581"/>
            </c:manualLayout>
          </c:layout>
          <c:overlay val="0"/>
        </c:title>
        <c:numFmt formatCode="0_ " sourceLinked="0"/>
        <c:majorTickMark val="out"/>
        <c:minorTickMark val="none"/>
        <c:tickLblPos val="nextTo"/>
        <c:spPr>
          <a:ln w="9525" cap="flat" cmpd="sng" algn="ctr">
            <a:solidFill>
              <a:srgbClr val="7030A0"/>
            </a:solidFill>
            <a:prstDash val="solid"/>
            <a:round/>
          </a:ln>
        </c:spPr>
        <c:txPr>
          <a:bodyPr rot="-60000000" spcFirstLastPara="0" vertOverflow="ellipsis" vert="horz" wrap="square" anchor="ctr" anchorCtr="1"/>
          <a:lstStyle/>
          <a:p>
            <a:pPr>
              <a:defRPr lang="zh-CN" sz="1000" b="1" i="0" u="none" strike="noStrike" kern="1200" baseline="0">
                <a:solidFill>
                  <a:sysClr val="windowText" lastClr="000000"/>
                </a:solidFill>
                <a:latin typeface="+mj-lt"/>
                <a:ea typeface="+mn-ea"/>
                <a:cs typeface="+mn-cs"/>
              </a:defRPr>
            </a:pPr>
          </a:p>
        </c:txPr>
        <c:crossAx val="1537645776"/>
        <c:crosses val="autoZero"/>
        <c:crossBetween val="midCat"/>
        <c:majorUnit val="100"/>
        <c:minorUnit val="25"/>
      </c:valAx>
      <c:spPr>
        <a:noFill/>
        <a:ln w="6350">
          <a:solidFill>
            <a:schemeClr val="tx1"/>
          </a:solidFill>
        </a:ln>
      </c:spPr>
    </c:plotArea>
    <c:plotVisOnly val="1"/>
    <c:dispBlanksAs val="gap"/>
    <c:showDLblsOverMax val="0"/>
  </c:chart>
  <c:txPr>
    <a:bodyPr/>
    <a:lstStyle/>
    <a:p>
      <a:pPr>
        <a:defRPr lang="zh-CN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E11C16-6195-48B0-82A2-D394BDAFAFB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9</Pages>
  <Words>1119</Words>
  <Characters>1611</Characters>
  <Lines>18</Lines>
  <Paragraphs>5</Paragraphs>
  <TotalTime>4294552723</TotalTime>
  <ScaleCrop>false</ScaleCrop>
  <LinksUpToDate>false</LinksUpToDate>
  <CharactersWithSpaces>1676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2020-03-17T05:36:00Z</dcterms:created>
  <dc:creator>yeyusheng</dc:creator>
  <cp:lastModifiedBy>刘金鹏</cp:lastModifiedBy>
  <cp:lastPrinted>2020-03-17T10:24:00Z</cp:lastPrinted>
  <dcterms:modified xsi:type="dcterms:W3CDTF">2022-09-20T03:39:04Z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2FA6C7C761744D67BA7D24E89CFFB903</vt:lpwstr>
  </property>
</Properties>
</file>